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那曲市色尼区人民政府黑河街道办事处机关2024年度部门决算公开报告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8"/>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8"/>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8"/>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9"/>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9"/>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9"/>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8"/>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2941_WPSOffice_Level1"/>
      <w:bookmarkStart w:id="3" w:name="_Toc1704_WPSOffice_Level1"/>
      <w:bookmarkStart w:id="4" w:name="_Toc10049_WPSOffice_Level1"/>
      <w:bookmarkStart w:id="5" w:name="_Toc10720_WPSOffice_Level1"/>
      <w:bookmarkStart w:id="6" w:name="_Toc23465_WPSOffice_Level1"/>
      <w:bookmarkStart w:id="7" w:name="_Toc32433_WPSOffice_Level1"/>
      <w:bookmarkStart w:id="8" w:name="_Toc24238_WPSOffice_Level2"/>
      <w:bookmarkStart w:id="9" w:name="_Toc32622_WPSOffice_Level2"/>
      <w:bookmarkStart w:id="10" w:name="_Toc20205_WPSOffice_Level2"/>
      <w:bookmarkStart w:id="11" w:name="_Toc20274_WPSOffice_Level2"/>
      <w:bookmarkStart w:id="12" w:name="_Toc14159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keepNext w:val="0"/>
        <w:keepLines w:val="0"/>
        <w:pageBreakBefore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1．主要职能</w:t>
      </w:r>
      <w:r>
        <w:rPr>
          <w:rFonts w:hint="eastAsia" w:ascii="Times New Roman" w:hAnsi="Times New Roman"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（1）社会管理与服务职能，包括社区建设与管理、民政事务管理、计划生育管理、流动人口管理等；</w:t>
      </w:r>
    </w:p>
    <w:p>
      <w:pPr>
        <w:pStyle w:val="2"/>
        <w:keepNext w:val="0"/>
        <w:keepLines w:val="0"/>
        <w:pageBreakBefore w:val="0"/>
        <w:kinsoku/>
        <w:wordWrap/>
        <w:overflowPunct/>
        <w:topLinePunct w:val="0"/>
        <w:autoSpaceDE/>
        <w:autoSpaceDN/>
        <w:bidi w:val="0"/>
        <w:adjustRightInd/>
        <w:spacing w:before="0" w:beforeLines="0" w:after="0" w:afterLines="0" w:line="576" w:lineRule="exact"/>
        <w:ind w:left="0" w:leftChars="0" w:right="0" w:rightChars="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（2）公共服务职能，包括环境卫生管理、绿化养护管理、公共设施管理等；</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（3）经济发展与协调职能，包括经济发展服务、统计工作等；</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rPr>
          <w:rFonts w:hint="eastAsia" w:ascii="黑体" w:hAnsi="黑体" w:eastAsia="黑体" w:cs="黑体"/>
          <w:color w:val="auto"/>
          <w:sz w:val="32"/>
          <w:szCs w:val="32"/>
        </w:rPr>
      </w:pPr>
      <w:r>
        <w:rPr>
          <w:rFonts w:hint="eastAsia" w:ascii="Times New Roman" w:hAnsi="Times New Roman" w:eastAsia="仿宋_GB2312"/>
          <w:color w:val="auto"/>
          <w:sz w:val="32"/>
          <w:szCs w:val="32"/>
          <w:highlight w:val="none"/>
          <w:lang w:val="en-US" w:eastAsia="zh-CN"/>
        </w:rPr>
        <w:t>（4）安全稳定与综合治理职能，包括社会治理综合治理、安全生产管理、信访维稳工作等；</w:t>
      </w: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059_WPSOffice_Level2"/>
      <w:bookmarkStart w:id="16" w:name="_Toc24474_WPSOffice_Level2"/>
      <w:bookmarkStart w:id="17" w:name="_Toc4833_WPSOffice_Level2"/>
      <w:bookmarkStart w:id="18" w:name="_Toc6572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色尼区人民政府黑河街道办事处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包括：</w:t>
      </w:r>
    </w:p>
    <w:p>
      <w:p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（一）</w:t>
      </w:r>
      <w:r>
        <w:rPr>
          <w:rFonts w:hint="eastAsia" w:ascii="仿宋_GB2312" w:hAnsi="ˎ̥" w:eastAsia="仿宋_GB2312"/>
          <w:color w:val="auto"/>
          <w:sz w:val="32"/>
          <w:szCs w:val="32"/>
          <w:lang w:val="en-US" w:eastAsia="zh-CN"/>
        </w:rPr>
        <w:t>色尼区人民政府黑河街道办事处</w:t>
      </w:r>
      <w:r>
        <w:rPr>
          <w:rFonts w:hint="eastAsia" w:ascii="方正楷体_GBK" w:hAnsi="方正楷体_GBK" w:eastAsia="方正楷体_GBK" w:cs="方正楷体_GBK"/>
          <w:color w:val="auto"/>
          <w:sz w:val="32"/>
          <w:szCs w:val="32"/>
        </w:rPr>
        <w:t>部门本级</w:t>
      </w:r>
      <w:bookmarkEnd w:id="19"/>
      <w:bookmarkEnd w:id="20"/>
    </w:p>
    <w:p>
      <w:pPr>
        <w:spacing w:line="578" w:lineRule="exact"/>
        <w:ind w:firstLine="640" w:firstLineChars="200"/>
        <w:rPr>
          <w:rFonts w:hint="eastAsia" w:ascii="方正楷体_GBK" w:hAnsi="方正楷体_GBK" w:eastAsia="方正楷体_GBK" w:cs="方正楷体_GBK"/>
          <w:color w:val="auto"/>
          <w:sz w:val="32"/>
          <w:szCs w:val="32"/>
        </w:rPr>
      </w:pPr>
      <w:bookmarkStart w:id="21" w:name="_Toc4442_WPSOffice_Level2"/>
      <w:bookmarkStart w:id="22" w:name="_Toc19721_WPSOffice_Level2"/>
      <w:r>
        <w:rPr>
          <w:rFonts w:hint="eastAsia" w:ascii="方正楷体_GBK" w:hAnsi="方正楷体_GBK" w:eastAsia="方正楷体_GBK" w:cs="方正楷体_GBK"/>
          <w:color w:val="auto"/>
          <w:sz w:val="32"/>
          <w:szCs w:val="32"/>
        </w:rPr>
        <w:t>（二）</w:t>
      </w:r>
      <w:r>
        <w:rPr>
          <w:rFonts w:hint="eastAsia" w:ascii="仿宋_GB2312" w:hAnsi="ˎ̥" w:eastAsia="仿宋_GB2312"/>
          <w:color w:val="auto"/>
          <w:sz w:val="32"/>
          <w:szCs w:val="32"/>
          <w:lang w:val="en-US" w:eastAsia="zh-CN"/>
        </w:rPr>
        <w:t>色尼区人民政府黑河街道办事处无</w:t>
      </w:r>
      <w:r>
        <w:rPr>
          <w:rFonts w:hint="eastAsia" w:ascii="方正楷体_GBK" w:hAnsi="方正楷体_GBK" w:eastAsia="方正楷体_GBK" w:cs="方正楷体_GBK"/>
          <w:color w:val="auto"/>
          <w:sz w:val="32"/>
          <w:szCs w:val="32"/>
        </w:rPr>
        <w:t>下属单位</w:t>
      </w:r>
      <w:bookmarkEnd w:id="21"/>
      <w:bookmarkEnd w:id="22"/>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23" w:name="_Toc30690_WPSOffice_Level1"/>
      <w:bookmarkStart w:id="24" w:name="_Toc8164_WPSOffice_Level1"/>
      <w:bookmarkStart w:id="25" w:name="_Toc6234_WPSOffice_Level1"/>
      <w:bookmarkStart w:id="26" w:name="_Toc30451_WPSOffice_Level1"/>
      <w:bookmarkStart w:id="27" w:name="_Toc28253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auto"/>
          <w:sz w:val="32"/>
          <w:szCs w:val="32"/>
        </w:rPr>
      </w:pPr>
      <w:bookmarkStart w:id="35" w:name="_Toc25608_WPSOffice_Level2"/>
      <w:bookmarkStart w:id="36" w:name="_Toc30334_WPSOffice_Level2"/>
      <w:bookmarkStart w:id="37" w:name="_Toc14349_WPSOffice_Level2"/>
      <w:bookmarkStart w:id="38" w:name="_Toc28622_WPSOffice_Level2"/>
      <w:bookmarkStart w:id="39" w:name="_Toc23139_WPSOffice_Level2"/>
      <w:bookmarkStart w:id="40" w:name="_Toc26621_WPSOffice_Level2"/>
      <w:r>
        <w:rPr>
          <w:rFonts w:hint="eastAsia" w:ascii="黑体" w:hAnsi="黑体" w:eastAsia="黑体" w:cs="黑体"/>
          <w:color w:val="auto"/>
          <w:sz w:val="32"/>
          <w:szCs w:val="32"/>
        </w:rPr>
        <w:t>二、收入决算公开表</w:t>
      </w:r>
      <w:bookmarkEnd w:id="35"/>
      <w:bookmarkEnd w:id="36"/>
      <w:bookmarkEnd w:id="37"/>
      <w:bookmarkEnd w:id="38"/>
      <w:bookmarkEnd w:id="39"/>
      <w:bookmarkEnd w:id="40"/>
      <w:bookmarkStart w:id="41" w:name="_Toc17858_WPSOffice_Level2"/>
      <w:bookmarkStart w:id="42" w:name="_Toc5489_WPSOffice_Level2"/>
      <w:bookmarkStart w:id="43" w:name="_Toc13854_WPSOffice_Level2"/>
      <w:bookmarkStart w:id="44" w:name="_Toc14658_WPSOffice_Level2"/>
      <w:bookmarkStart w:id="45" w:name="_Toc17626_WPSOffice_Level2"/>
      <w:bookmarkStart w:id="46"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41"/>
      <w:bookmarkEnd w:id="42"/>
      <w:bookmarkEnd w:id="43"/>
      <w:bookmarkEnd w:id="44"/>
      <w:bookmarkEnd w:id="45"/>
      <w:bookmarkEnd w:id="46"/>
      <w:bookmarkStart w:id="47" w:name="_Toc21415_WPSOffice_Level2"/>
      <w:bookmarkStart w:id="48" w:name="_Toc13701_WPSOffice_Level2"/>
      <w:bookmarkStart w:id="49" w:name="_Toc4265_WPSOffice_Level2"/>
      <w:bookmarkStart w:id="50" w:name="_Toc23591_WPSOffice_Level2"/>
      <w:bookmarkStart w:id="51" w:name="_Toc7988_WPSOffice_Level2"/>
      <w:bookmarkStart w:id="52"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auto"/>
          <w:sz w:val="32"/>
          <w:szCs w:val="32"/>
        </w:rPr>
      </w:pPr>
      <w:bookmarkStart w:id="53" w:name="_Toc22783_WPSOffice_Level2"/>
      <w:bookmarkStart w:id="54" w:name="_Toc7879_WPSOffice_Level2"/>
      <w:bookmarkStart w:id="55" w:name="_Toc25166_WPSOffice_Level2"/>
      <w:bookmarkStart w:id="56" w:name="_Toc23829_WPSOffice_Level2"/>
      <w:bookmarkStart w:id="57" w:name="_Toc2158_WPSOffice_Level2"/>
      <w:bookmarkStart w:id="58" w:name="_Toc13516_WPSOffice_Level2"/>
      <w:r>
        <w:rPr>
          <w:rFonts w:hint="eastAsia" w:ascii="黑体" w:hAnsi="黑体" w:eastAsia="黑体" w:cs="黑体"/>
          <w:color w:val="auto"/>
          <w:sz w:val="32"/>
          <w:szCs w:val="32"/>
        </w:rPr>
        <w:t>五、一般公共预算财政拨款收入支出决算</w:t>
      </w:r>
      <w:bookmarkEnd w:id="53"/>
      <w:bookmarkEnd w:id="54"/>
      <w:bookmarkEnd w:id="55"/>
      <w:bookmarkEnd w:id="56"/>
      <w:r>
        <w:rPr>
          <w:rFonts w:hint="eastAsia" w:ascii="黑体" w:hAnsi="黑体" w:eastAsia="黑体" w:cs="黑体"/>
          <w:color w:val="auto"/>
          <w:sz w:val="32"/>
          <w:szCs w:val="32"/>
        </w:rPr>
        <w:t>公开表</w:t>
      </w:r>
      <w:bookmarkEnd w:id="57"/>
      <w:bookmarkEnd w:id="58"/>
      <w:bookmarkStart w:id="59" w:name="_Toc25362_WPSOffice_Level2"/>
      <w:bookmarkStart w:id="60" w:name="_Toc17833_WPSOffice_Level2"/>
      <w:bookmarkStart w:id="61" w:name="_Toc8373_WPSOffice_Level2"/>
      <w:bookmarkStart w:id="62" w:name="_Toc5343_WPSOffice_Level2"/>
      <w:bookmarkStart w:id="63" w:name="_Toc17283_WPSOffice_Level2"/>
      <w:bookmarkStart w:id="64" w:name="_Toc263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5" w:name="_Toc11799_WPSOffice_Level2"/>
      <w:bookmarkStart w:id="66" w:name="_Toc6020_WPSOffice_Level2"/>
      <w:bookmarkStart w:id="67" w:name="_Toc13345_WPSOffice_Level2"/>
      <w:bookmarkStart w:id="68" w:name="_Toc5594_WPSOffice_Level2"/>
      <w:bookmarkStart w:id="69" w:name="_Toc1533_WPSOffice_Level2"/>
      <w:bookmarkStart w:id="70" w:name="_Toc21310_WPSOffice_Level2"/>
      <w:r>
        <w:rPr>
          <w:rFonts w:hint="eastAsia" w:ascii="黑体" w:hAnsi="黑体" w:eastAsia="黑体" w:cs="黑体"/>
          <w:color w:val="auto"/>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71" w:name="_Toc19961_WPSOffice_Level2"/>
      <w:bookmarkStart w:id="72" w:name="_Toc1820_WPSOffice_Level2"/>
      <w:bookmarkStart w:id="73" w:name="_Toc9377_WPSOffice_Level2"/>
      <w:bookmarkStart w:id="74" w:name="_Toc29886_WPSOffice_Level2"/>
      <w:r>
        <w:rPr>
          <w:rFonts w:hint="eastAsia" w:ascii="黑体" w:hAnsi="黑体" w:eastAsia="黑体" w:cs="黑体"/>
          <w:color w:val="auto"/>
          <w:sz w:val="32"/>
          <w:szCs w:val="32"/>
        </w:rPr>
        <w:t>九、财政拨款“三公”经费支出决算</w:t>
      </w:r>
      <w:bookmarkEnd w:id="71"/>
      <w:bookmarkEnd w:id="72"/>
      <w:bookmarkEnd w:id="73"/>
      <w:bookmarkEnd w:id="74"/>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5" w:name="_Toc4402_WPSOffice_Level1"/>
      <w:bookmarkStart w:id="76" w:name="_Toc29683_WPSOffice_Level1"/>
      <w:bookmarkStart w:id="77" w:name="_Toc16686_WPSOffice_Level1"/>
      <w:bookmarkStart w:id="78" w:name="_Toc27590_WPSOffice_Level1"/>
      <w:bookmarkStart w:id="79" w:name="_Toc28629_WPSOffice_Level1"/>
      <w:bookmarkStart w:id="80"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328.68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48.67</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346.45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51</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2024年新增单位</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23005_WPSOffice_Level2"/>
      <w:bookmarkStart w:id="82" w:name="_Toc17398_WPSOffice_Level2"/>
      <w:bookmarkStart w:id="83" w:name="_Toc13694_WPSOffice_Level2"/>
      <w:bookmarkStart w:id="84" w:name="_Toc21737_WPSOffice_Level2"/>
      <w:bookmarkStart w:id="85" w:name="_Toc9989_WPSOffice_Level2"/>
      <w:bookmarkStart w:id="86" w:name="_Toc19665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23864_WPSOffice_Level2"/>
      <w:bookmarkStart w:id="88" w:name="_Toc19075_WPSOffice_Level2"/>
      <w:bookmarkStart w:id="89" w:name="_Toc19535_WPSOffice_Level2"/>
      <w:bookmarkStart w:id="90" w:name="_Toc18793_WPSOffice_Level2"/>
      <w:bookmarkStart w:id="91" w:name="_Toc2711_WPSOffice_Level2"/>
      <w:bookmarkStart w:id="92" w:name="_Toc27767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304.32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31.51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文化旅游体育与传媒</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卫生健康</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17.91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城乡社区支出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258.73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农林水支出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15.94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762.78</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88.53</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347.5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304.32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86</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因本单位预算一体化系统管理</w:t>
      </w:r>
      <w:r>
        <w:rPr>
          <w:rFonts w:hint="eastAsia" w:ascii="仿宋_GB2312" w:hAnsi="ˎ̥" w:eastAsia="仿宋_GB2312"/>
          <w:color w:val="auto"/>
          <w:sz w:val="32"/>
          <w:szCs w:val="32"/>
          <w:lang w:val="en-US" w:eastAsia="zh-CN"/>
        </w:rPr>
        <w:t>2024年9月底才成立。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328.68</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321.37</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7.31</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w:t>
      </w:r>
      <w:r>
        <w:rPr>
          <w:rFonts w:hint="eastAsia" w:ascii="Times New Roman" w:hAnsi="Times New Roman" w:eastAsia="仿宋_GB2312" w:cs="仿宋"/>
          <w:bCs/>
          <w:color w:val="auto"/>
          <w:sz w:val="32"/>
          <w:szCs w:val="32"/>
          <w:u w:val="none" w:color="auto"/>
          <w:lang w:eastAsia="zh-CN"/>
        </w:rPr>
        <w:t>原因为本单位于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762.78</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675.13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88.53</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304.32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31.51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文化旅游体育与传媒</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卫生健康</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17.91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城乡社区支出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258.73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农林水支出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15.94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762.78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675.13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88.35</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因本单位财预算一体化系统管理</w:t>
      </w:r>
      <w:r>
        <w:rPr>
          <w:rFonts w:hint="eastAsia" w:ascii="仿宋_GB2312" w:hAnsi="ˎ̥" w:eastAsia="仿宋_GB2312"/>
          <w:color w:val="auto"/>
          <w:sz w:val="32"/>
          <w:szCs w:val="32"/>
          <w:lang w:val="en-US" w:eastAsia="zh-CN"/>
        </w:rPr>
        <w:t>2024年9月底才成立。</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本单位不涉及该笔资金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Times New Roman" w:hAnsi="Times New Roman" w:eastAsia="仿宋_GB2312" w:cs="仿宋"/>
          <w:bCs/>
          <w:color w:val="auto"/>
          <w:sz w:val="32"/>
          <w:szCs w:val="32"/>
          <w:u w:val="none" w:color="auto"/>
          <w:lang w:eastAsia="zh-CN"/>
        </w:rPr>
        <w:t>为本单位于</w:t>
      </w:r>
      <w:r>
        <w:rPr>
          <w:rFonts w:hint="eastAsia" w:ascii="Times New Roman" w:hAnsi="Times New Roman" w:eastAsia="仿宋_GB2312" w:cs="仿宋"/>
          <w:bCs/>
          <w:color w:val="auto"/>
          <w:sz w:val="32"/>
          <w:szCs w:val="32"/>
          <w:u w:val="none" w:color="auto"/>
          <w:lang w:val="en-US" w:eastAsia="zh-CN"/>
        </w:rPr>
        <w:t>2024年</w:t>
      </w:r>
      <w:r>
        <w:rPr>
          <w:rFonts w:hint="eastAsia" w:eastAsia="仿宋_GB2312" w:cs="仿宋"/>
          <w:bCs/>
          <w:color w:val="auto"/>
          <w:sz w:val="32"/>
          <w:szCs w:val="32"/>
          <w:u w:val="none" w:color="auto"/>
          <w:lang w:val="en-US" w:eastAsia="zh-CN"/>
        </w:rPr>
        <w:t>9月</w:t>
      </w:r>
      <w:r>
        <w:rPr>
          <w:rFonts w:hint="eastAsia" w:ascii="Times New Roman" w:hAnsi="Times New Roman" w:eastAsia="仿宋_GB2312" w:cs="仿宋"/>
          <w:bCs/>
          <w:color w:val="auto"/>
          <w:sz w:val="32"/>
          <w:szCs w:val="32"/>
          <w:u w:val="none" w:color="auto"/>
          <w:lang w:val="en-US" w:eastAsia="zh-CN"/>
        </w:rPr>
        <w:t>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bookmarkStart w:id="123" w:name="_GoBack"/>
      <w:bookmarkEnd w:id="12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共涉及资金55.79万元，占一般公共预算项目支出总额的18%</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bidi="ar"/>
        </w:rPr>
        <w:t>“新时代文明站所工作经费”等</w:t>
      </w:r>
      <w:r>
        <w:rPr>
          <w:rFonts w:hint="eastAsia" w:ascii="仿宋_GB2312" w:eastAsia="仿宋_GB2312"/>
          <w:color w:val="auto"/>
          <w:sz w:val="32"/>
          <w:szCs w:val="32"/>
          <w:lang w:val="en-US" w:eastAsia="zh-CN" w:bidi="ar"/>
        </w:rPr>
        <w:t>9</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55.79</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参照如下格式说明（表述应与决算内容保持一致）：我部门（单位）在部门决算中反映新时代文明站所工作经费、</w:t>
      </w:r>
      <w:r>
        <w:rPr>
          <w:rFonts w:hint="eastAsia" w:ascii="仿宋_GB2312" w:eastAsia="仿宋_GB2312"/>
          <w:color w:val="auto"/>
          <w:sz w:val="32"/>
          <w:szCs w:val="32"/>
          <w:lang w:val="en-US" w:eastAsia="zh-CN"/>
        </w:rPr>
        <w:t>为民办实事经费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积分超市</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eastAsia="zh-CN"/>
        </w:rPr>
        <w:t>：按要求完成。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color w:val="auto"/>
        </w:rPr>
      </w:pPr>
      <w:r>
        <w:rPr>
          <w:rFonts w:hint="eastAsia" w:ascii="黑体" w:hAnsi="黑体" w:eastAsia="黑体" w:cs="黑体"/>
          <w:bCs/>
          <w:color w:val="auto"/>
          <w:sz w:val="32"/>
          <w:szCs w:val="32"/>
        </w:rPr>
        <w:t>其他重要事项情况说明</w:t>
      </w:r>
    </w:p>
    <w:p>
      <w:pPr>
        <w:pStyle w:val="2"/>
        <w:rPr>
          <w:rFonts w:hint="eastAsia" w:eastAsia="黑体"/>
          <w:color w:val="auto"/>
          <w:lang w:eastAsia="zh-CN"/>
        </w:rPr>
      </w:pPr>
      <w:r>
        <w:rPr>
          <w:rFonts w:hint="eastAsia" w:ascii="黑体" w:hAnsi="黑体" w:eastAsia="黑体" w:cs="黑体"/>
          <w:bCs/>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5978_WPSOffice_Level2"/>
      <w:bookmarkStart w:id="100" w:name="_Toc18325_WPSOffice_Level2"/>
      <w:bookmarkStart w:id="101" w:name="_Toc15565_WPSOffice_Level2"/>
      <w:bookmarkStart w:id="102" w:name="_Toc32639_WPSOffice_Level2"/>
      <w:bookmarkStart w:id="103" w:name="_Toc23598_WPSOffice_Level2"/>
      <w:bookmarkStart w:id="104" w:name="_Toc15262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黑河街道办事处</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办公设施设备购置经费增加/资产运行维护支出增加/信息系统运行维护支出增加/人员编制数量增加/落实过紧日子要求压减</w:t>
      </w:r>
      <w:r>
        <w:rPr>
          <w:rFonts w:hint="eastAsia" w:ascii="仿宋_GB2312" w:hAnsi="ˎ̥" w:eastAsia="仿宋_GB2312"/>
          <w:color w:val="auto"/>
          <w:sz w:val="32"/>
          <w:szCs w:val="32"/>
          <w:lang w:val="en-US" w:eastAsia="zh-CN" w:bidi="ar"/>
        </w:rPr>
        <w:t>0</w:t>
      </w:r>
      <w:r>
        <w:rPr>
          <w:rFonts w:hint="eastAsia" w:ascii="仿宋_GB2312" w:hAnsi="ˎ̥" w:eastAsia="仿宋_GB2312"/>
          <w:color w:val="auto"/>
          <w:sz w:val="32"/>
          <w:szCs w:val="32"/>
          <w:lang w:bidi="ar"/>
        </w:rPr>
        <w:t>支出/等</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30383_WPSOffice_Level2"/>
      <w:bookmarkStart w:id="106" w:name="_Toc13084_WPSOffice_Level2"/>
      <w:bookmarkStart w:id="107" w:name="_Toc23966_WPSOffice_Level2"/>
      <w:bookmarkStart w:id="108" w:name="_Toc3131_WPSOffice_Level2"/>
      <w:bookmarkStart w:id="109" w:name="_Toc32689_WPSOffice_Level2"/>
      <w:bookmarkStart w:id="110" w:name="_Toc2533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黑河街道办事处</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6016_WPSOffice_Level2"/>
      <w:bookmarkStart w:id="112" w:name="_Toc29584_WPSOffice_Level2"/>
      <w:bookmarkStart w:id="113" w:name="_Toc15129_WPSOffice_Level2"/>
      <w:bookmarkStart w:id="114" w:name="_Toc19989_WPSOffice_Level2"/>
      <w:bookmarkStart w:id="115" w:name="_Toc527_WPSOffice_Level2"/>
      <w:bookmarkStart w:id="116" w:name="_Toc10902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8874_WPSOffice_Level1"/>
      <w:bookmarkStart w:id="118" w:name="_Toc11039_WPSOffice_Level1"/>
      <w:bookmarkStart w:id="119" w:name="_Toc8808_WPSOffice_Level1"/>
      <w:bookmarkStart w:id="120" w:name="_Toc17580_WPSOffice_Level1"/>
      <w:bookmarkStart w:id="121" w:name="_Toc4398_WPSOffice_Level1"/>
      <w:bookmarkStart w:id="122"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304.32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31.51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文化旅游体育与传媒</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卫生健康</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17.91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城乡社区支出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258.73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农林水支出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15.94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D9FF9A"/>
    <w:multiLevelType w:val="singleLevel"/>
    <w:tmpl w:val="68D9FF9A"/>
    <w:lvl w:ilvl="0" w:tentative="0">
      <w:start w:val="1"/>
      <w:numFmt w:val="chineseCounting"/>
      <w:suff w:val="nothing"/>
      <w:lvlText w:val="%1、"/>
      <w:lvlJc w:val="left"/>
    </w:lvl>
  </w:abstractNum>
  <w:abstractNum w:abstractNumId="2">
    <w:nsid w:val="68DA3ECF"/>
    <w:multiLevelType w:val="singleLevel"/>
    <w:tmpl w:val="68DA3ECF"/>
    <w:lvl w:ilvl="0" w:tentative="0">
      <w:start w:val="11"/>
      <w:numFmt w:val="chineseCounting"/>
      <w:suff w:val="nothing"/>
      <w:lvlText w:val="%1、"/>
      <w:lvlJc w:val="left"/>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F1681"/>
    <w:rsid w:val="32ED5A88"/>
    <w:rsid w:val="44CC7F96"/>
    <w:rsid w:val="5AE05A6A"/>
    <w:rsid w:val="6677018B"/>
    <w:rsid w:val="79404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8">
    <w:name w:val="WPSOffice手动目录 1"/>
    <w:qFormat/>
    <w:uiPriority w:val="0"/>
    <w:rPr>
      <w:rFonts w:ascii="Times New Roman" w:hAnsi="Times New Roman" w:eastAsia="宋体" w:cs="Times New Roman"/>
      <w:sz w:val="21"/>
      <w:szCs w:val="22"/>
      <w:lang w:val="en-US" w:eastAsia="zh-CN" w:bidi="ar-SA"/>
    </w:rPr>
  </w:style>
  <w:style w:type="paragraph" w:customStyle="1" w:styleId="9">
    <w:name w:val="WPSOffice手动目录 2"/>
    <w:qFormat/>
    <w:uiPriority w:val="0"/>
    <w:pPr>
      <w:ind w:leftChars="200"/>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2025-09-29T09:08:27Z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