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色尼区色雄乡人民政府机关2024年度部门决算公开报告</w:t>
      </w:r>
    </w:p>
    <w:p>
      <w:pPr>
        <w:spacing w:line="578" w:lineRule="exact"/>
        <w:jc w:val="center"/>
        <w:rPr>
          <w:rFonts w:hint="eastAsia" w:ascii="黑体" w:hAnsi="黑体" w:eastAsia="黑体" w:cs="黑体"/>
          <w:sz w:val="44"/>
          <w:szCs w:val="44"/>
        </w:rPr>
      </w:pPr>
      <w:bookmarkStart w:id="0" w:name="_Toc11440_WPSOffice_Type2"/>
    </w:p>
    <w:p>
      <w:pPr>
        <w:spacing w:line="578" w:lineRule="exact"/>
        <w:jc w:val="center"/>
        <w:rPr>
          <w:rFonts w:hint="eastAsia" w:ascii="黑体" w:hAnsi="黑体" w:eastAsia="黑体" w:cs="黑体"/>
          <w:sz w:val="44"/>
          <w:szCs w:val="44"/>
        </w:rPr>
      </w:pPr>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center"/>
        <w:rPr>
          <w:rFonts w:hint="eastAsia" w:ascii="黑体" w:hAnsi="ˎ̥" w:eastAsia="黑体"/>
          <w:sz w:val="32"/>
          <w:szCs w:val="32"/>
        </w:rPr>
      </w:pPr>
      <w:bookmarkStart w:id="2" w:name="_Toc22941_WPSOffice_Level1"/>
      <w:bookmarkStart w:id="3" w:name="_Toc23465_WPSOffice_Level1"/>
      <w:bookmarkStart w:id="4" w:name="_Toc10720_WPSOffice_Level1"/>
      <w:bookmarkStart w:id="5" w:name="_Toc1704_WPSOffice_Level1"/>
      <w:bookmarkStart w:id="6" w:name="_Toc10049_WPSOffice_Level1"/>
      <w:bookmarkStart w:id="7" w:name="_Toc32433_WPSOffice_Level1"/>
      <w:bookmarkStart w:id="8" w:name="_Toc24238_WPSOffice_Level2"/>
      <w:bookmarkStart w:id="9" w:name="_Toc26580_WPSOffice_Level2"/>
      <w:bookmarkStart w:id="10" w:name="_Toc20205_WPSOffice_Level2"/>
      <w:bookmarkStart w:id="11" w:name="_Toc20274_WPSOffice_Level2"/>
      <w:bookmarkStart w:id="12" w:name="_Toc32622_WPSOffice_Level2"/>
      <w:bookmarkStart w:id="13" w:name="_Toc14159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pPr>
        <w:numPr>
          <w:ilvl w:val="0"/>
          <w:numId w:val="0"/>
        </w:num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贯彻落实党和国家在乡村各项方针政策和法律法规，做好群众工作。促进经济发展，增加群众收入，科学乡村发展规划，推动产业结构调整；大力发展民营经济，培育和发展农村经济合作组织，经济实体。搞好</w:t>
      </w:r>
      <w:r>
        <w:rPr>
          <w:rFonts w:hint="eastAsia" w:ascii="仿宋" w:hAnsi="仿宋" w:eastAsia="仿宋" w:cs="仿宋"/>
          <w:color w:val="auto"/>
          <w:sz w:val="32"/>
          <w:szCs w:val="32"/>
          <w:lang w:eastAsia="zh-CN"/>
        </w:rPr>
        <w:t>牧</w:t>
      </w:r>
      <w:r>
        <w:rPr>
          <w:rFonts w:hint="eastAsia" w:ascii="仿宋" w:hAnsi="仿宋" w:eastAsia="仿宋" w:cs="仿宋"/>
          <w:color w:val="auto"/>
          <w:sz w:val="32"/>
          <w:szCs w:val="32"/>
        </w:rPr>
        <w:t>业新技术示范，促进</w:t>
      </w:r>
      <w:r>
        <w:rPr>
          <w:rFonts w:hint="eastAsia" w:ascii="仿宋" w:hAnsi="仿宋" w:eastAsia="仿宋" w:cs="仿宋"/>
          <w:color w:val="auto"/>
          <w:sz w:val="32"/>
          <w:szCs w:val="32"/>
          <w:lang w:eastAsia="zh-CN"/>
        </w:rPr>
        <w:t>牧</w:t>
      </w:r>
      <w:r>
        <w:rPr>
          <w:rFonts w:hint="eastAsia" w:ascii="仿宋" w:hAnsi="仿宋" w:eastAsia="仿宋" w:cs="仿宋"/>
          <w:color w:val="auto"/>
          <w:sz w:val="32"/>
          <w:szCs w:val="32"/>
        </w:rPr>
        <w:t>业技术推广。搞好政策信息咨询服务。</w:t>
      </w:r>
    </w:p>
    <w:p>
      <w:pPr>
        <w:numPr>
          <w:ilvl w:val="0"/>
          <w:numId w:val="0"/>
        </w:num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强化公共服务，着力改善民生。拓宽服务渠道，</w:t>
      </w:r>
      <w:r>
        <w:rPr>
          <w:rFonts w:hint="eastAsia" w:ascii="仿宋" w:hAnsi="仿宋" w:eastAsia="仿宋" w:cs="仿宋"/>
          <w:color w:val="auto"/>
          <w:sz w:val="32"/>
          <w:szCs w:val="32"/>
          <w:lang w:eastAsia="zh-CN"/>
        </w:rPr>
        <w:t>改善</w:t>
      </w:r>
      <w:r>
        <w:rPr>
          <w:rFonts w:hint="eastAsia" w:ascii="仿宋" w:hAnsi="仿宋" w:eastAsia="仿宋" w:cs="仿宋"/>
          <w:color w:val="auto"/>
          <w:sz w:val="32"/>
          <w:szCs w:val="32"/>
        </w:rPr>
        <w:t>服务方式，方便群众办事；推进依法行政，严格依法履行职责；着力解决群众生产生活中的突出问题，切实维护牧民合法权益；加强基础设施建设，改善群众生产生活环境；做好乡村社会保障工作，扩大乡村新型合作医疗覆盖面，建立健全最低生活保障制度。做好育龄妇女普查和生殖健康检查；保证粮食直补，农资直补等惠农政策落实到户</w:t>
      </w:r>
    </w:p>
    <w:p>
      <w:pPr>
        <w:numPr>
          <w:ilvl w:val="0"/>
          <w:numId w:val="0"/>
        </w:numPr>
        <w:spacing w:line="578"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加强社会管理、维护农村稳定。加强农村教育、卫生、文化、体育、环境保护等社会事业管理，促进农村经济社会健康、和谐可持续发展；加强安全生产管理，做好安全生产监督检查、隐患排查；加强社会治安综合治理，发挥民调作用，化解社会矛盾，消除社会不稳定因素；妥善处理突发性群体性事件，确保人民群众生命财产安全。</w:t>
      </w:r>
    </w:p>
    <w:p>
      <w:pPr>
        <w:numPr>
          <w:ilvl w:val="0"/>
          <w:numId w:val="0"/>
        </w:numPr>
        <w:spacing w:line="578" w:lineRule="exact"/>
        <w:ind w:firstLine="640" w:firstLineChars="200"/>
        <w:rPr>
          <w:rFonts w:hint="eastAsia" w:ascii="黑体" w:hAnsi="黑体" w:eastAsia="黑体" w:cs="黑体"/>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推进基层民主、促进社会和谐。坚持党的领导，保障群众选举权；健全村务公开制度，保障农民农民群众的知青权；强化村务管理监督制约机制，保障农民群众监督权；着力解决群众生产生活的突出问题，切实维护农牧民合法权益。密切党群关系，促进和谐社会建设。</w:t>
      </w:r>
    </w:p>
    <w:p>
      <w:pPr>
        <w:spacing w:line="578" w:lineRule="exact"/>
        <w:ind w:firstLine="640" w:firstLineChars="200"/>
        <w:rPr>
          <w:rFonts w:hint="eastAsia" w:ascii="黑体" w:hAnsi="黑体" w:eastAsia="黑体" w:cs="黑体"/>
          <w:sz w:val="32"/>
          <w:szCs w:val="32"/>
        </w:rPr>
      </w:pPr>
      <w:bookmarkStart w:id="14" w:name="_Toc24474_WPSOffice_Level2"/>
      <w:bookmarkStart w:id="15" w:name="_Toc24059_WPSOffice_Level2"/>
      <w:bookmarkStart w:id="16" w:name="_Toc6572_WPSOffice_Level2"/>
      <w:bookmarkStart w:id="17" w:name="_Toc4833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纳入</w:t>
      </w:r>
      <w:r>
        <w:rPr>
          <w:rFonts w:hint="eastAsia" w:ascii="仿宋_GB2312" w:hAnsi="ˎ̥" w:eastAsia="仿宋_GB2312"/>
          <w:sz w:val="32"/>
          <w:szCs w:val="32"/>
          <w:lang w:eastAsia="zh-CN"/>
        </w:rPr>
        <w:t>色雄乡人民政府</w:t>
      </w:r>
      <w:r>
        <w:rPr>
          <w:rFonts w:hint="default" w:ascii="仿宋_GB2312" w:hAnsi="ˎ̥" w:eastAsia="仿宋_GB2312"/>
          <w:sz w:val="32"/>
          <w:szCs w:val="32"/>
          <w:lang w:val="en-US"/>
        </w:rPr>
        <w:t>2024</w:t>
      </w:r>
      <w:r>
        <w:rPr>
          <w:rFonts w:hint="eastAsia" w:ascii="仿宋_GB2312" w:hAnsi="ˎ̥" w:eastAsia="仿宋_GB2312"/>
          <w:sz w:val="32"/>
          <w:szCs w:val="32"/>
        </w:rPr>
        <w:t>年度部门决算编制范围的单位</w:t>
      </w:r>
      <w:r>
        <w:rPr>
          <w:rFonts w:hint="eastAsia" w:ascii="仿宋_GB2312" w:hAnsi="ˎ̥" w:eastAsia="仿宋_GB2312"/>
          <w:color w:val="000000" w:themeColor="text1"/>
          <w:sz w:val="32"/>
          <w:szCs w:val="32"/>
          <w14:textFill>
            <w14:solidFill>
              <w14:schemeClr w14:val="tx1"/>
            </w14:solidFill>
          </w14:textFill>
        </w:rPr>
        <w:t>共</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个</w:t>
      </w:r>
      <w:r>
        <w:rPr>
          <w:rFonts w:hint="eastAsia" w:ascii="仿宋_GB2312" w:hAnsi="ˎ̥" w:eastAsia="仿宋_GB2312"/>
          <w:color w:val="auto"/>
          <w:sz w:val="32"/>
          <w:szCs w:val="32"/>
        </w:rPr>
        <w:t>。</w:t>
      </w:r>
    </w:p>
    <w:p>
      <w:pPr>
        <w:spacing w:line="578"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（一）色雄乡人民政府</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黑体" w:eastAsia="黑体" w:cs="黑体"/>
          <w:sz w:val="32"/>
          <w:szCs w:val="32"/>
        </w:rPr>
      </w:pPr>
      <w:bookmarkStart w:id="19" w:name="_Toc6234_WPSOffice_Level1"/>
      <w:bookmarkStart w:id="20" w:name="_Toc30451_WPSOffice_Level1"/>
      <w:bookmarkStart w:id="21" w:name="_Toc28253_WPSOffice_Level1"/>
      <w:bookmarkStart w:id="22" w:name="_Toc15521_WPSOffice_Level1"/>
      <w:bookmarkStart w:id="23" w:name="_Toc8164_WPSOffice_Level1"/>
      <w:bookmarkStart w:id="24" w:name="_Toc30690_WPSOffice_Level1"/>
      <w:bookmarkStart w:id="25" w:name="_Toc11518_WPSOffice_Level2"/>
      <w:bookmarkStart w:id="26" w:name="_Toc6211_WPSOffice_Level2"/>
      <w:bookmarkStart w:id="27" w:name="_Toc4029_WPSOffice_Level2"/>
      <w:bookmarkStart w:id="28" w:name="_Toc32472_WPSOffice_Level2"/>
      <w:bookmarkStart w:id="29" w:name="_Toc32695_WPSOffice_Level2"/>
      <w:bookmarkStart w:id="30" w:name="_Toc8867_WPSOffice_Level2"/>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8622_WPSOffice_Level2"/>
      <w:bookmarkStart w:id="32" w:name="_Toc14349_WPSOffice_Level2"/>
      <w:bookmarkStart w:id="33" w:name="_Toc25608_WPSOffice_Level2"/>
      <w:bookmarkStart w:id="34" w:name="_Toc23139_WPSOffice_Level2"/>
      <w:bookmarkStart w:id="35" w:name="_Toc26621_WPSOffice_Level2"/>
      <w:bookmarkStart w:id="36" w:name="_Toc30334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5489_WPSOffice_Level2"/>
      <w:bookmarkStart w:id="38" w:name="_Toc3262_WPSOffice_Level2"/>
      <w:bookmarkStart w:id="39" w:name="_Toc17858_WPSOffice_Level2"/>
      <w:bookmarkStart w:id="40" w:name="_Toc14658_WPSOffice_Level2"/>
      <w:bookmarkStart w:id="41" w:name="_Toc13854_WPSOffice_Level2"/>
      <w:bookmarkStart w:id="42" w:name="_Toc17626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493_WPSOffice_Level2"/>
      <w:bookmarkStart w:id="44" w:name="_Toc23591_WPSOffice_Level2"/>
      <w:bookmarkStart w:id="45" w:name="_Toc7988_WPSOffice_Level2"/>
      <w:bookmarkStart w:id="46" w:name="_Toc13701_WPSOffice_Level2"/>
      <w:bookmarkStart w:id="47" w:name="_Toc21415_WPSOffice_Level2"/>
      <w:bookmarkStart w:id="48" w:name="_Toc426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3829_WPSOffice_Level2"/>
      <w:bookmarkStart w:id="50" w:name="_Toc25166_WPSOffice_Level2"/>
      <w:bookmarkStart w:id="51" w:name="_Toc22783_WPSOffice_Level2"/>
      <w:bookmarkStart w:id="52" w:name="_Toc787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632_WPSOffice_Level2"/>
      <w:bookmarkStart w:id="56" w:name="_Toc17833_WPSOffice_Level2"/>
      <w:bookmarkStart w:id="57" w:name="_Toc8373_WPSOffice_Level2"/>
      <w:bookmarkStart w:id="58" w:name="_Toc5343_WPSOffice_Level2"/>
      <w:bookmarkStart w:id="59" w:name="_Toc17283_WPSOffice_Level2"/>
      <w:bookmarkStart w:id="60"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3345_WPSOffice_Level2"/>
      <w:bookmarkStart w:id="62" w:name="_Toc5594_WPSOffice_Level2"/>
      <w:bookmarkStart w:id="63" w:name="_Toc1533_WPSOffice_Level2"/>
      <w:bookmarkStart w:id="64" w:name="_Toc21310_WPSOffice_Level2"/>
      <w:bookmarkStart w:id="65" w:name="_Toc6020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820_WPSOffice_Level2"/>
      <w:bookmarkStart w:id="68" w:name="_Toc29886_WPSOffice_Level2"/>
      <w:bookmarkStart w:id="69" w:name="_Toc9377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黑体" w:hAnsi="黑体" w:eastAsia="黑体" w:cs="黑体"/>
          <w:sz w:val="32"/>
          <w:szCs w:val="32"/>
        </w:rPr>
      </w:pPr>
      <w:r>
        <w:rPr>
          <w:rFonts w:hint="eastAsia" w:ascii="仿宋" w:hAnsi="仿宋" w:eastAsia="仿宋" w:cs="仿宋"/>
          <w:w w:val="100"/>
          <w:sz w:val="32"/>
          <w:szCs w:val="32"/>
        </w:rPr>
        <w:t xml:space="preserve">以上报表见附件1。   </w:t>
      </w:r>
    </w:p>
    <w:p>
      <w:pPr>
        <w:spacing w:line="578" w:lineRule="exact"/>
        <w:jc w:val="center"/>
        <w:rPr>
          <w:rFonts w:hint="eastAsia" w:ascii="黑体" w:hAnsi="ˎ̥" w:eastAsia="黑体"/>
          <w:color w:val="000000" w:themeColor="text1"/>
          <w:sz w:val="32"/>
          <w:szCs w:val="32"/>
          <w14:textFill>
            <w14:solidFill>
              <w14:schemeClr w14:val="tx1"/>
            </w14:solidFill>
          </w14:textFill>
        </w:rPr>
      </w:pPr>
      <w:bookmarkStart w:id="71" w:name="_Toc4402_WPSOffice_Level1"/>
      <w:bookmarkStart w:id="72" w:name="_Toc16686_WPSOffice_Level1"/>
      <w:bookmarkStart w:id="73" w:name="_Toc28629_WPSOffice_Level1"/>
      <w:bookmarkStart w:id="74" w:name="_Toc31264_WPSOffice_Level1"/>
      <w:bookmarkStart w:id="75" w:name="_Toc27590_WPSOffice_Level1"/>
      <w:bookmarkStart w:id="76" w:name="_Toc29683_WPSOffice_Level1"/>
      <w:r>
        <w:rPr>
          <w:rFonts w:hint="eastAsia" w:ascii="黑体" w:hAnsi="ˎ̥" w:eastAsia="黑体"/>
          <w:color w:val="000000" w:themeColor="text1"/>
          <w:sz w:val="32"/>
          <w:szCs w:val="32"/>
          <w14:textFill>
            <w14:solidFill>
              <w14:schemeClr w14:val="tx1"/>
            </w14:solidFill>
          </w14:textFill>
        </w:rPr>
        <w:t xml:space="preserve">第三部分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年度部门决算情况说明</w:t>
      </w:r>
      <w:bookmarkEnd w:id="71"/>
      <w:bookmarkEnd w:id="72"/>
      <w:bookmarkEnd w:id="73"/>
      <w:bookmarkEnd w:id="74"/>
      <w:bookmarkEnd w:id="75"/>
      <w:bookmarkEnd w:id="76"/>
    </w:p>
    <w:p>
      <w:pPr>
        <w:spacing w:line="578" w:lineRule="exact"/>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一、收入支出总体情况说明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259.23</w:t>
      </w:r>
      <w:r>
        <w:rPr>
          <w:rFonts w:hint="eastAsia" w:ascii="仿宋_GB2312" w:hAnsi="ˎ̥" w:eastAsia="仿宋_GB2312"/>
          <w:color w:val="000000" w:themeColor="text1"/>
          <w:sz w:val="32"/>
          <w:szCs w:val="32"/>
          <w14:textFill>
            <w14:solidFill>
              <w14:schemeClr w14:val="tx1"/>
            </w14:solidFill>
          </w14:textFill>
        </w:rPr>
        <w:t>元，增长</w:t>
      </w:r>
      <w:r>
        <w:rPr>
          <w:rFonts w:hint="eastAsia" w:ascii="仿宋_GB2312" w:hAnsi="ˎ̥" w:eastAsia="仿宋_GB2312"/>
          <w:color w:val="000000" w:themeColor="text1"/>
          <w:sz w:val="32"/>
          <w:szCs w:val="32"/>
          <w:highlight w:val="none"/>
          <w:lang w:val="en-US" w:eastAsia="zh-CN"/>
          <w14:textFill>
            <w14:solidFill>
              <w14:schemeClr w14:val="tx1"/>
            </w14:solidFill>
          </w14:textFill>
        </w:rPr>
        <w:t>8.63</w:t>
      </w:r>
      <w:r>
        <w:rPr>
          <w:rFonts w:hint="eastAsia" w:ascii="仿宋_GB2312" w:hAnsi="ˎ̥" w:eastAsia="仿宋_GB2312"/>
          <w:color w:val="000000" w:themeColor="text1"/>
          <w:sz w:val="32"/>
          <w:szCs w:val="32"/>
          <w:highlight w:val="none"/>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主要原因：人员变动较大</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三公经费增张</w:t>
      </w:r>
      <w:r>
        <w:rPr>
          <w:rFonts w:hint="eastAsia" w:ascii="仿宋_GB2312" w:hAnsi="ˎ̥" w:eastAsia="仿宋_GB2312"/>
          <w:color w:val="000000" w:themeColor="text1"/>
          <w:sz w:val="32"/>
          <w:szCs w:val="32"/>
          <w:lang w:eastAsia="zh-CN"/>
          <w14:textFill>
            <w14:solidFill>
              <w14:schemeClr w14:val="tx1"/>
            </w14:solidFill>
          </w14:textFill>
        </w:rPr>
        <w:t>及</w:t>
      </w:r>
      <w:r>
        <w:rPr>
          <w:rFonts w:hint="eastAsia" w:ascii="仿宋_GB2312" w:hAnsi="ˎ̥" w:eastAsia="仿宋_GB2312"/>
          <w:color w:val="000000" w:themeColor="text1"/>
          <w:sz w:val="32"/>
          <w:szCs w:val="32"/>
          <w:lang w:val="en-US" w:eastAsia="zh-CN"/>
          <w14:textFill>
            <w14:solidFill>
              <w14:schemeClr w14:val="tx1"/>
            </w14:solidFill>
          </w14:textFill>
        </w:rPr>
        <w:t>新冠肺炎疫情防控一线工作人员临时补助</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收入</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2,936.74</w:t>
      </w:r>
      <w:r>
        <w:rPr>
          <w:rFonts w:hint="eastAsia" w:ascii="仿宋_GB2312" w:hAnsi="ˎ̥" w:eastAsia="仿宋_GB2312"/>
          <w:color w:val="000000" w:themeColor="text1"/>
          <w:sz w:val="32"/>
          <w:szCs w:val="32"/>
          <w14:textFill>
            <w14:solidFill>
              <w14:schemeClr w14:val="tx1"/>
            </w14:solidFill>
          </w14:textFill>
        </w:rPr>
        <w:t>万元。</w:t>
      </w:r>
    </w:p>
    <w:p>
      <w:pPr>
        <w:spacing w:line="578" w:lineRule="exact"/>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万元，主要原因是本乡除了财政拨款收入外没有其他收入来源。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63.82</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主</w:t>
      </w:r>
      <w:r>
        <w:rPr>
          <w:rFonts w:hint="eastAsia" w:ascii="仿宋_GB2312" w:hAnsi="ˎ̥" w:eastAsia="仿宋_GB2312"/>
          <w:color w:val="000000" w:themeColor="text1"/>
          <w:sz w:val="32"/>
          <w:szCs w:val="32"/>
          <w14:textFill>
            <w14:solidFill>
              <w14:schemeClr w14:val="tx1"/>
            </w14:solidFill>
          </w14:textFill>
        </w:rPr>
        <w:t>要是上年专项资金结转较多，202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年度决算数0万元，主要原因是</w:t>
      </w:r>
      <w:r>
        <w:rPr>
          <w:rFonts w:hint="eastAsia" w:ascii="仿宋_GB2312" w:hAnsi="ˎ̥" w:eastAsia="仿宋_GB2312"/>
          <w:color w:val="000000" w:themeColor="text1"/>
          <w:sz w:val="32"/>
          <w:szCs w:val="32"/>
          <w:lang w:eastAsia="zh-CN"/>
          <w14:textFill>
            <w14:solidFill>
              <w14:schemeClr w14:val="tx1"/>
            </w14:solidFill>
          </w14:textFill>
        </w:rPr>
        <w:t>本单位存量资金</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支出</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w:t>
      </w:r>
      <w:r>
        <w:rPr>
          <w:rFonts w:hint="default" w:ascii="仿宋_GB2312" w:hAnsi="ˎ̥" w:eastAsia="仿宋_GB2312"/>
          <w:color w:val="000000" w:themeColor="text1"/>
          <w:sz w:val="32"/>
          <w:szCs w:val="32"/>
          <w:lang w:val="en-US"/>
          <w14:textFill>
            <w14:solidFill>
              <w14:schemeClr w14:val="tx1"/>
            </w14:solidFill>
          </w14:textFill>
        </w:rPr>
        <w:t>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万元，主要原因是：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年末结转结余</w:t>
      </w:r>
      <w:r>
        <w:rPr>
          <w:rFonts w:ascii="仿宋_GB2312" w:hAnsi="ˎ̥" w:eastAsia="仿宋_GB2312"/>
          <w:color w:val="000000" w:themeColor="text1"/>
          <w:sz w:val="32"/>
          <w:szCs w:val="32"/>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年度相关决算数据可取自附件财决公开01、02</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03</w:t>
      </w:r>
      <w:r>
        <w:rPr>
          <w:rFonts w:hint="eastAsia" w:ascii="仿宋_GB2312" w:hAnsi="ˎ̥" w:eastAsia="仿宋_GB2312"/>
          <w:color w:val="000000" w:themeColor="text1"/>
          <w:sz w:val="32"/>
          <w:szCs w:val="32"/>
          <w14:textFill>
            <w14:solidFill>
              <w14:schemeClr w14:val="tx1"/>
            </w14:solidFill>
          </w14:textFill>
        </w:rPr>
        <w:t>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年度相关决算数据可取自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年度部门决算报表财决01表《收入支出决算总表》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2,936.74</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2,936.74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上述各项收入数可取自财决公开02表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2,388.71</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79.61</w:t>
      </w:r>
      <w:r>
        <w:rPr>
          <w:rFonts w:hint="eastAsia" w:ascii="仿宋_GB2312" w:hAnsi="ˎ̥" w:eastAsia="仿宋_GB2312"/>
          <w:color w:val="000000" w:themeColor="text1"/>
          <w:sz w:val="32"/>
          <w:szCs w:val="32"/>
          <w14:textFill>
            <w14:solidFill>
              <w14:schemeClr w14:val="tx1"/>
            </w14:solidFill>
          </w14:textFill>
        </w:rPr>
        <w:t>占%；项目支出</w:t>
      </w:r>
      <w:r>
        <w:rPr>
          <w:rFonts w:hint="default" w:ascii="仿宋_GB2312" w:hAnsi="ˎ̥" w:eastAsia="仿宋_GB2312"/>
          <w:color w:val="000000" w:themeColor="text1"/>
          <w:sz w:val="32"/>
          <w:szCs w:val="32"/>
          <w:lang w:val="en-US"/>
          <w14:textFill>
            <w14:solidFill>
              <w14:schemeClr w14:val="tx1"/>
            </w14:solidFill>
          </w14:textFill>
        </w:rPr>
        <w:t>611.85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20.39</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上述各项支出数可取自财决公开03表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2,936.74</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年度相比，财政拨款收入减少</w:t>
      </w:r>
      <w:r>
        <w:rPr>
          <w:rFonts w:hint="eastAsia" w:ascii="仿宋_GB2312" w:hAnsi="ˎ̥" w:eastAsia="仿宋_GB2312"/>
          <w:color w:val="000000" w:themeColor="text1"/>
          <w:sz w:val="32"/>
          <w:szCs w:val="32"/>
          <w:lang w:val="en-US" w:eastAsia="zh-CN"/>
          <w14:textFill>
            <w14:solidFill>
              <w14:schemeClr w14:val="tx1"/>
            </w14:solidFill>
          </w14:textFill>
        </w:rPr>
        <w:t>63.82</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2.17</w:t>
      </w:r>
      <w:r>
        <w:rPr>
          <w:rFonts w:hint="eastAsia" w:ascii="仿宋_GB2312" w:hAnsi="ˎ̥" w:eastAsia="仿宋_GB2312"/>
          <w:color w:val="000000" w:themeColor="text1"/>
          <w:sz w:val="32"/>
          <w:szCs w:val="32"/>
          <w14:textFill>
            <w14:solidFill>
              <w14:schemeClr w14:val="tx1"/>
            </w14:solidFill>
          </w14:textFill>
        </w:rPr>
        <w:t>%，主要原因：一是人员减少</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二是各项专项资金相对减少。支出增加</w:t>
      </w:r>
      <w:r>
        <w:rPr>
          <w:rFonts w:hint="eastAsia" w:ascii="仿宋_GB2312" w:hAnsi="ˎ̥" w:eastAsia="仿宋_GB2312"/>
          <w:color w:val="000000" w:themeColor="text1"/>
          <w:sz w:val="32"/>
          <w:szCs w:val="32"/>
          <w:lang w:val="en-US" w:eastAsia="zh-CN"/>
          <w14:textFill>
            <w14:solidFill>
              <w14:schemeClr w14:val="tx1"/>
            </w14:solidFill>
          </w14:textFill>
        </w:rPr>
        <w:t>259.23</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8.64</w:t>
      </w:r>
      <w:r>
        <w:rPr>
          <w:rFonts w:hint="eastAsia" w:ascii="仿宋_GB2312" w:hAnsi="ˎ̥" w:eastAsia="仿宋_GB2312"/>
          <w:color w:val="000000" w:themeColor="text1"/>
          <w:sz w:val="32"/>
          <w:szCs w:val="32"/>
          <w14:textFill>
            <w14:solidFill>
              <w14:schemeClr w14:val="tx1"/>
            </w14:solidFill>
          </w14:textFill>
        </w:rPr>
        <w:t>%，主要原因：一是人员增加；二是各项专项资金增加。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63.82</w:t>
      </w:r>
      <w:r>
        <w:rPr>
          <w:rFonts w:hint="eastAsia" w:ascii="仿宋_GB2312" w:hAnsi="ˎ̥" w:eastAsia="仿宋_GB2312"/>
          <w:color w:val="000000" w:themeColor="text1"/>
          <w:sz w:val="32"/>
          <w:szCs w:val="32"/>
          <w14:textFill>
            <w14:solidFill>
              <w14:schemeClr w14:val="tx1"/>
            </w14:solidFill>
          </w14:textFill>
        </w:rPr>
        <w:t>万元，主要是上年结转较多202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年度决算数0万元，增长0%，主要原因。财政拨款年末结转结余0万元，主要</w:t>
      </w:r>
      <w:r>
        <w:rPr>
          <w:rFonts w:hint="eastAsia" w:ascii="仿宋_GB2312" w:hAnsi="ˎ̥" w:eastAsia="仿宋_GB2312"/>
          <w:color w:val="000000" w:themeColor="text1"/>
          <w:sz w:val="32"/>
          <w:szCs w:val="32"/>
          <w:lang w:eastAsia="zh-CN"/>
          <w14:textFill>
            <w14:solidFill>
              <w14:schemeClr w14:val="tx1"/>
            </w14:solidFill>
          </w14:textFill>
        </w:rPr>
        <w:t>原因：本年度财政拨款资金严格按照预算计划及项目进度执行，所有用于部门履职、农牧服务等的财政拨款均在年末前全额列支完毕，无资金滞留，实现财政资金精准、高效使用，故年末结转结余为</w:t>
      </w:r>
      <w:r>
        <w:rPr>
          <w:rFonts w:hint="eastAsia" w:ascii="仿宋_GB2312" w:hAnsi="ˎ̥" w:eastAsia="仿宋_GB2312"/>
          <w:color w:val="000000" w:themeColor="text1"/>
          <w:sz w:val="32"/>
          <w:szCs w:val="32"/>
          <w:lang w:val="en-US" w:eastAsia="zh-CN"/>
          <w14:textFill>
            <w14:solidFill>
              <w14:schemeClr w14:val="tx1"/>
            </w14:solidFill>
          </w14:textFill>
        </w:rPr>
        <w:t>0万元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较202</w:t>
      </w: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14:textFill>
            <w14:solidFill>
              <w14:schemeClr w14:val="tx1"/>
            </w14:solidFill>
          </w14:textFill>
        </w:rPr>
        <w:t>年度决算数增加（减少）0万元，增长（下降）0%。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年度决算相关数据可取自财决公开0</w:t>
      </w:r>
      <w:bookmarkStart w:id="119" w:name="_GoBack"/>
      <w:bookmarkEnd w:id="119"/>
      <w:r>
        <w:rPr>
          <w:rFonts w:hint="eastAsia" w:ascii="仿宋_GB2312" w:hAnsi="ˎ̥" w:eastAsia="仿宋_GB2312"/>
          <w:color w:val="000000" w:themeColor="text1"/>
          <w:sz w:val="32"/>
          <w:szCs w:val="32"/>
          <w14:textFill>
            <w14:solidFill>
              <w14:schemeClr w14:val="tx1"/>
            </w14:solidFill>
          </w14:textFill>
        </w:rPr>
        <w:t>4表。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年度决算相关数据可取自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年度部门决算报表财决01-1表《财政拨款收入支出决算总表》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77" w:name="_Toc13694_WPSOffice_Level2"/>
      <w:bookmarkStart w:id="78" w:name="_Toc9989_WPSOffice_Level2"/>
      <w:bookmarkStart w:id="79" w:name="_Toc23005_WPSOffice_Level2"/>
      <w:bookmarkStart w:id="80" w:name="_Toc19665_WPSOffice_Level2"/>
      <w:bookmarkStart w:id="81" w:name="_Toc21737_WPSOffice_Level2"/>
      <w:bookmarkStart w:id="82" w:name="_Toc17398_WPSOffice_Level2"/>
      <w:r>
        <w:rPr>
          <w:rFonts w:hint="eastAsia" w:ascii="楷体" w:hAnsi="楷体" w:eastAsia="楷体" w:cs="楷体"/>
          <w:color w:val="000000" w:themeColor="text1"/>
          <w:sz w:val="32"/>
          <w:szCs w:val="32"/>
          <w14:textFill>
            <w14:solidFill>
              <w14:schemeClr w14:val="tx1"/>
            </w14:solidFill>
          </w14:textFill>
        </w:rPr>
        <w:t>（一）一般公共预算财政拨款支出决算总体情况</w:t>
      </w:r>
      <w:bookmarkEnd w:id="77"/>
      <w:bookmarkEnd w:id="78"/>
      <w:bookmarkEnd w:id="79"/>
      <w:bookmarkEnd w:id="80"/>
      <w:bookmarkEnd w:id="81"/>
      <w:bookmarkEnd w:id="82"/>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259.23</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8.63</w:t>
      </w:r>
      <w:r>
        <w:rPr>
          <w:rFonts w:hint="eastAsia" w:ascii="仿宋_GB2312" w:hAnsi="ˎ̥" w:eastAsia="仿宋_GB2312"/>
          <w:color w:val="000000" w:themeColor="text1"/>
          <w:sz w:val="32"/>
          <w:szCs w:val="32"/>
          <w14:textFill>
            <w14:solidFill>
              <w14:schemeClr w14:val="tx1"/>
            </w14:solidFill>
          </w14:textFill>
        </w:rPr>
        <w:t>%，</w:t>
      </w:r>
      <w:bookmarkStart w:id="83" w:name="_Toc19075_WPSOffice_Level2"/>
      <w:bookmarkStart w:id="84" w:name="_Toc23864_WPSOffice_Level2"/>
      <w:bookmarkStart w:id="85" w:name="_Toc19535_WPSOffice_Level2"/>
      <w:bookmarkStart w:id="86" w:name="_Toc18793_WPSOffice_Level2"/>
      <w:bookmarkStart w:id="87" w:name="_Toc2711_WPSOffice_Level2"/>
      <w:bookmarkStart w:id="88" w:name="_Toc27767_WPSOffice_Level2"/>
      <w:r>
        <w:rPr>
          <w:rFonts w:hint="eastAsia" w:ascii="仿宋_GB2312" w:hAnsi="ˎ̥" w:eastAsia="仿宋_GB2312"/>
          <w:color w:val="000000" w:themeColor="text1"/>
          <w:sz w:val="32"/>
          <w:szCs w:val="32"/>
          <w14:textFill>
            <w14:solidFill>
              <w14:schemeClr w14:val="tx1"/>
            </w14:solidFill>
          </w14:textFill>
        </w:rPr>
        <w:t>主要原因一是人员增加；二是各项专项资金增加。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1870.65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62.34</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lang w:eastAsia="zh-CN"/>
          <w14:textFill>
            <w14:solidFill>
              <w14:schemeClr w14:val="tx1"/>
            </w14:solidFill>
          </w14:textFill>
        </w:rPr>
        <w:t>国防支出</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0.06</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b/>
          <w:color w:val="000000" w:themeColor="text1"/>
          <w:sz w:val="32"/>
          <w:szCs w:val="32"/>
          <w14:textFill>
            <w14:solidFill>
              <w14:schemeClr w14:val="tx1"/>
            </w14:solidFill>
          </w14:textFill>
        </w:rPr>
        <w:t>文化旅游体育与传媒支出</w:t>
      </w:r>
      <w:r>
        <w:rPr>
          <w:rFonts w:hint="eastAsia" w:ascii="仿宋_GB2312" w:hAnsi="ˎ̥" w:eastAsia="仿宋_GB2312"/>
          <w:color w:val="000000" w:themeColor="text1"/>
          <w:sz w:val="32"/>
          <w:szCs w:val="32"/>
          <w:lang w:val="en-US" w:eastAsia="zh-CN"/>
          <w14:textFill>
            <w14:solidFill>
              <w14:schemeClr w14:val="tx1"/>
            </w14:solidFill>
          </w14:textFill>
        </w:rPr>
        <w:t>50.74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1.69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283.12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9.44</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b/>
          <w:bCs/>
          <w:color w:val="000000" w:themeColor="text1"/>
          <w:sz w:val="32"/>
          <w:szCs w:val="32"/>
          <w14:textFill>
            <w14:solidFill>
              <w14:schemeClr w14:val="tx1"/>
            </w14:solidFill>
          </w14:textFill>
        </w:rPr>
        <w:t>卫生健康支出</w:t>
      </w:r>
      <w:r>
        <w:rPr>
          <w:rFonts w:hint="eastAsia" w:ascii="仿宋_GB2312" w:hAnsi="ˎ̥" w:eastAsia="仿宋_GB2312"/>
          <w:color w:val="000000" w:themeColor="text1"/>
          <w:sz w:val="32"/>
          <w:szCs w:val="32"/>
          <w:lang w:val="en-US" w:eastAsia="zh-CN"/>
          <w14:textFill>
            <w14:solidFill>
              <w14:schemeClr w14:val="tx1"/>
            </w14:solidFill>
          </w14:textFill>
        </w:rPr>
        <w:t>210.90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b/>
          <w:bCs/>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占</w:t>
      </w:r>
      <w:r>
        <w:rPr>
          <w:rFonts w:hint="eastAsia" w:ascii="仿宋_GB2312" w:hAnsi="ˎ̥" w:eastAsia="仿宋_GB2312"/>
          <w:color w:val="000000" w:themeColor="text1"/>
          <w:sz w:val="32"/>
          <w:szCs w:val="32"/>
          <w:lang w:val="en-US" w:eastAsia="zh-CN"/>
          <w14:textFill>
            <w14:solidFill>
              <w14:schemeClr w14:val="tx1"/>
            </w14:solidFill>
          </w14:textFill>
        </w:rPr>
        <w:t>7.03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w:t>
      </w:r>
      <w:r>
        <w:rPr>
          <w:rFonts w:ascii="仿宋_GB2312" w:hAnsi="ˎ̥" w:eastAsia="仿宋_GB2312"/>
          <w:b/>
          <w:bCs/>
          <w:color w:val="000000" w:themeColor="text1"/>
          <w:sz w:val="32"/>
          <w:szCs w:val="32"/>
          <w14:textFill>
            <w14:solidFill>
              <w14:schemeClr w14:val="tx1"/>
            </w14:solidFill>
          </w14:textFill>
        </w:rPr>
        <w:t>节能环保支出</w:t>
      </w:r>
      <w:r>
        <w:rPr>
          <w:rFonts w:hint="eastAsia" w:ascii="仿宋_GB2312" w:hAnsi="ˎ̥" w:eastAsia="仿宋_GB2312"/>
          <w:color w:val="000000" w:themeColor="text1"/>
          <w:sz w:val="32"/>
          <w:szCs w:val="32"/>
          <w:lang w:val="en-US" w:eastAsia="zh-CN"/>
          <w14:textFill>
            <w14:solidFill>
              <w14:schemeClr w14:val="tx1"/>
            </w14:solidFill>
          </w14:textFill>
        </w:rPr>
        <w:t>19.99</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b/>
          <w:bCs/>
          <w:color w:val="000000" w:themeColor="text1"/>
          <w:sz w:val="32"/>
          <w:szCs w:val="32"/>
          <w14:textFill>
            <w14:solidFill>
              <w14:schemeClr w14:val="tx1"/>
            </w14:solidFill>
          </w14:textFill>
        </w:rPr>
        <w:t>，占</w:t>
      </w:r>
      <w:r>
        <w:rPr>
          <w:rFonts w:hint="eastAsia" w:ascii="仿宋_GB2312" w:hAnsi="ˎ̥" w:eastAsia="仿宋_GB2312"/>
          <w:b/>
          <w:bCs/>
          <w:color w:val="000000" w:themeColor="text1"/>
          <w:sz w:val="32"/>
          <w:szCs w:val="32"/>
          <w:lang w:val="en-US" w:eastAsia="zh-CN"/>
          <w14:textFill>
            <w14:solidFill>
              <w14:schemeClr w14:val="tx1"/>
            </w14:solidFill>
          </w14:textFill>
        </w:rPr>
        <w:t>0.66</w:t>
      </w:r>
      <w:r>
        <w:rPr>
          <w:rFonts w:hint="eastAsia" w:ascii="仿宋_GB2312" w:hAnsi="ˎ̥" w:eastAsia="仿宋_GB2312"/>
          <w:b/>
          <w:bCs/>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lang w:eastAsia="zh-CN"/>
          <w14:textFill>
            <w14:solidFill>
              <w14:schemeClr w14:val="tx1"/>
            </w14:solidFill>
          </w14:textFill>
        </w:rPr>
        <w:t>城乡社区支出</w:t>
      </w:r>
      <w:r>
        <w:rPr>
          <w:rFonts w:hint="eastAsia" w:ascii="仿宋_GB2312" w:hAnsi="ˎ̥" w:eastAsia="仿宋_GB2312"/>
          <w:b/>
          <w:bCs/>
          <w:color w:val="000000" w:themeColor="text1"/>
          <w:sz w:val="32"/>
          <w:szCs w:val="32"/>
          <w:lang w:val="en-US" w:eastAsia="zh-CN"/>
          <w14:textFill>
            <w14:solidFill>
              <w14:schemeClr w14:val="tx1"/>
            </w14:solidFill>
          </w14:textFill>
        </w:rPr>
        <w:t>10.12万元，</w:t>
      </w:r>
      <w:r>
        <w:rPr>
          <w:rFonts w:hint="eastAsia" w:ascii="仿宋_GB2312" w:hAnsi="ˎ̥" w:eastAsia="仿宋_GB2312"/>
          <w:b/>
          <w:bCs/>
          <w:color w:val="000000" w:themeColor="text1"/>
          <w:sz w:val="32"/>
          <w:szCs w:val="32"/>
          <w14:textFill>
            <w14:solidFill>
              <w14:schemeClr w14:val="tx1"/>
            </w14:solidFill>
          </w14:textFill>
        </w:rPr>
        <w:t>占</w:t>
      </w:r>
      <w:r>
        <w:rPr>
          <w:rFonts w:hint="eastAsia" w:ascii="仿宋_GB2312" w:hAnsi="ˎ̥" w:eastAsia="仿宋_GB2312"/>
          <w:b/>
          <w:bCs/>
          <w:color w:val="000000" w:themeColor="text1"/>
          <w:sz w:val="32"/>
          <w:szCs w:val="32"/>
          <w:lang w:val="en-US" w:eastAsia="zh-CN"/>
          <w14:textFill>
            <w14:solidFill>
              <w14:schemeClr w14:val="tx1"/>
            </w14:solidFill>
          </w14:textFill>
        </w:rPr>
        <w:t>0.34</w:t>
      </w:r>
      <w:r>
        <w:rPr>
          <w:rFonts w:hint="eastAsia" w:ascii="仿宋_GB2312" w:hAnsi="ˎ̥" w:eastAsia="仿宋_GB2312"/>
          <w:b/>
          <w:bCs/>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lang w:eastAsia="zh-CN"/>
          <w14:textFill>
            <w14:solidFill>
              <w14:schemeClr w14:val="tx1"/>
            </w14:solidFill>
          </w14:textFill>
        </w:rPr>
        <w:t>；</w:t>
      </w:r>
      <w:r>
        <w:rPr>
          <w:rFonts w:ascii="仿宋_GB2312" w:hAnsi="ˎ̥" w:eastAsia="仿宋_GB2312"/>
          <w:b/>
          <w:bCs/>
          <w:color w:val="000000" w:themeColor="text1"/>
          <w:sz w:val="32"/>
          <w:szCs w:val="32"/>
          <w14:textFill>
            <w14:solidFill>
              <w14:schemeClr w14:val="tx1"/>
            </w14:solidFill>
          </w14:textFill>
        </w:rPr>
        <w:t>农林水支出</w:t>
      </w:r>
      <w:r>
        <w:rPr>
          <w:rFonts w:hint="eastAsia" w:ascii="仿宋_GB2312" w:hAnsi="ˎ̥" w:eastAsia="仿宋_GB2312"/>
          <w:color w:val="000000" w:themeColor="text1"/>
          <w:sz w:val="32"/>
          <w:szCs w:val="32"/>
          <w:lang w:val="en-US" w:eastAsia="zh-CN"/>
          <w14:textFill>
            <w14:solidFill>
              <w14:schemeClr w14:val="tx1"/>
            </w14:solidFill>
          </w14:textFill>
        </w:rPr>
        <w:t>223.70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b/>
          <w:bCs/>
          <w:color w:val="000000" w:themeColor="text1"/>
          <w:sz w:val="32"/>
          <w:szCs w:val="32"/>
          <w14:textFill>
            <w14:solidFill>
              <w14:schemeClr w14:val="tx1"/>
            </w14:solidFill>
          </w14:textFill>
        </w:rPr>
        <w:t>，占</w:t>
      </w:r>
      <w:r>
        <w:rPr>
          <w:rFonts w:hint="eastAsia" w:ascii="仿宋_GB2312" w:hAnsi="ˎ̥" w:eastAsia="仿宋_GB2312"/>
          <w:b/>
          <w:bCs/>
          <w:color w:val="000000" w:themeColor="text1"/>
          <w:sz w:val="32"/>
          <w:szCs w:val="32"/>
          <w:lang w:val="en-US" w:eastAsia="zh-CN"/>
          <w14:textFill>
            <w14:solidFill>
              <w14:schemeClr w14:val="tx1"/>
            </w14:solidFill>
          </w14:textFill>
        </w:rPr>
        <w:t>7.46</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329.34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10.98</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9" w:name="_Toc21701_WPSOffice_Level2"/>
      <w:bookmarkStart w:id="90" w:name="_Toc22318_WPSOffice_Level2"/>
      <w:bookmarkStart w:id="91" w:name="_Toc29364_WPSOffice_Level2"/>
      <w:bookmarkStart w:id="92" w:name="_Toc9502_WPSOffice_Level2"/>
      <w:bookmarkStart w:id="93" w:name="_Toc15415_WPSOffice_Level2"/>
      <w:bookmarkStart w:id="94" w:name="_Toc25136_WPSOffice_Level2"/>
      <w:r>
        <w:rPr>
          <w:rFonts w:hint="eastAsia" w:ascii="楷体" w:hAnsi="楷体" w:eastAsia="楷体" w:cs="楷体"/>
          <w:color w:val="000000" w:themeColor="text1"/>
          <w:sz w:val="32"/>
          <w:szCs w:val="32"/>
          <w14:textFill>
            <w14:solidFill>
              <w14:schemeClr w14:val="tx1"/>
            </w14:solidFill>
          </w14:textFill>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2936.74</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3,000.56</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97.87</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b/>
          <w:color w:val="000000" w:themeColor="text1"/>
          <w:sz w:val="32"/>
          <w:szCs w:val="32"/>
          <w14:textFill>
            <w14:solidFill>
              <w14:schemeClr w14:val="tx1"/>
            </w14:solidFill>
          </w14:textFill>
        </w:rPr>
        <w:t>一般公共服务（类）人大事务（款）行政运行（项）。</w:t>
      </w:r>
    </w:p>
    <w:p>
      <w:pPr>
        <w:spacing w:line="578" w:lineRule="exact"/>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10</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9.44</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94.40</w:t>
      </w:r>
      <w:r>
        <w:rPr>
          <w:rFonts w:hint="eastAsia" w:ascii="仿宋_GB2312" w:hAnsi="ˎ̥" w:eastAsia="仿宋_GB2312"/>
          <w:color w:val="000000" w:themeColor="text1"/>
          <w:sz w:val="32"/>
          <w:szCs w:val="32"/>
          <w14:textFill>
            <w14:solidFill>
              <w14:schemeClr w14:val="tx1"/>
            </w14:solidFill>
          </w14:textFill>
        </w:rPr>
        <w:t>%。决算数大于（小于）预算数的主要原因：人大经费</w:t>
      </w:r>
      <w:r>
        <w:rPr>
          <w:rFonts w:hint="eastAsia" w:ascii="仿宋_GB2312" w:hAnsi="ˎ̥" w:eastAsia="仿宋_GB2312"/>
          <w:color w:val="000000" w:themeColor="text1"/>
          <w:sz w:val="32"/>
          <w:szCs w:val="32"/>
          <w:lang w:eastAsia="zh-CN"/>
          <w14:textFill>
            <w14:solidFill>
              <w14:schemeClr w14:val="tx1"/>
            </w14:solidFill>
          </w14:textFill>
        </w:rPr>
        <w:t>还剩一点经费未</w:t>
      </w:r>
      <w:r>
        <w:rPr>
          <w:rFonts w:hint="eastAsia" w:ascii="仿宋_GB2312" w:hAnsi="ˎ̥" w:eastAsia="仿宋_GB2312"/>
          <w:color w:val="000000" w:themeColor="text1"/>
          <w:sz w:val="32"/>
          <w:szCs w:val="32"/>
          <w14:textFill>
            <w14:solidFill>
              <w14:schemeClr w14:val="tx1"/>
            </w14:solidFill>
          </w14:textFill>
        </w:rPr>
        <w:t>按时支出</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本部分支出决算数可取自财决公开05表，年初预算数可取自各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单位年初预算大本，根据实际支出涉及的支出功能分类项级科目填列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eastAsia="zh-CN"/>
          <w14:textFill>
            <w14:solidFill>
              <w14:schemeClr w14:val="tx1"/>
            </w14:solidFill>
          </w14:textFill>
        </w:rPr>
        <w:t>2388.71</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2,275.22</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113.49</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000000" w:themeColor="text1"/>
          <w:sz w:val="32"/>
          <w:szCs w:val="32"/>
          <w:lang w:val="en-US" w:eastAsia="zh-CN"/>
          <w14:textFill>
            <w14:solidFill>
              <w14:schemeClr w14:val="tx1"/>
            </w14:solidFill>
          </w14:textFill>
        </w:rPr>
        <w:t>购</w:t>
      </w:r>
      <w:r>
        <w:rPr>
          <w:rFonts w:hint="eastAsia" w:ascii="仿宋_GB2312" w:hAnsi="ˎ̥" w:eastAsia="仿宋_GB2312"/>
          <w:color w:val="000000" w:themeColor="text1"/>
          <w:sz w:val="32"/>
          <w:szCs w:val="32"/>
          <w14:textFill>
            <w14:solidFill>
              <w14:schemeClr w14:val="tx1"/>
            </w14:solidFill>
          </w14:textFill>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w:t>
      </w:r>
      <w:r>
        <w:rPr>
          <w:rFonts w:hint="eastAsia" w:ascii="仿宋_GB2312" w:hAnsi="ˎ̥" w:eastAsia="仿宋_GB2312"/>
          <w:color w:val="000000" w:themeColor="text1"/>
          <w:sz w:val="32"/>
          <w:szCs w:val="32"/>
          <w:lang w:val="en-US" w:eastAsia="zh-CN"/>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可取自财决公开06表，各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万元，主要原因是本单位没有政府性基金预算财政拨款支出。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%。主要原因是本单位没有政府性基金预算财政拨款支出。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单位实际支出涉及的支出功能分类项级科目填列，本部分</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决算相关数据取自财决公开07表；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lang w:val="en-US" w:eastAsia="zh-CN"/>
          <w14:textFill>
            <w14:solidFill>
              <w14:schemeClr w14:val="tx1"/>
            </w14:solidFill>
          </w14:textFill>
        </w:rPr>
        <w:t>年度部门决算报表</w:t>
      </w:r>
      <w:r>
        <w:rPr>
          <w:rFonts w:hint="eastAsia" w:ascii="仿宋_GB2312" w:hAnsi="ˎ̥" w:eastAsia="仿宋_GB2312"/>
          <w:color w:val="000000" w:themeColor="text1"/>
          <w:sz w:val="32"/>
          <w:szCs w:val="32"/>
          <w14:textFill>
            <w14:solidFill>
              <w14:schemeClr w14:val="tx1"/>
            </w14:solidFill>
          </w14:textFill>
        </w:rPr>
        <w:t>财决09表《政府性基金预算财政拨款收入支出决算表》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（一）国有资本经营预算财政拨款支出决算总体情况</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万元，主要原因是本单位没有政府性基金预算财政拨款支出。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%。主要原因是本单位没有政府性基金预算财政拨款支出。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单位实际支出涉及的支出功能分类项级科目填列，本部分</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决算相关数据取自财决公开08表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pPr>
        <w:spacing w:line="578" w:lineRule="exact"/>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12.03</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12.03</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“三公”经费支出增加</w:t>
      </w:r>
      <w:r>
        <w:rPr>
          <w:rFonts w:hint="eastAsia" w:ascii="仿宋_GB2312" w:hAnsi="ˎ̥" w:eastAsia="仿宋_GB2312"/>
          <w:color w:val="000000" w:themeColor="text1"/>
          <w:sz w:val="32"/>
          <w:szCs w:val="32"/>
          <w:lang w:val="en-US" w:eastAsia="zh-CN"/>
          <w14:textFill>
            <w14:solidFill>
              <w14:schemeClr w14:val="tx1"/>
            </w14:solidFill>
          </w14:textFill>
        </w:rPr>
        <w:t>0.48</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4.00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干部职工</w:t>
      </w:r>
      <w:r>
        <w:rPr>
          <w:rFonts w:hint="eastAsia" w:ascii="仿宋_GB2312" w:hAnsi="ˎ̥" w:eastAsia="仿宋_GB2312"/>
          <w:color w:val="000000" w:themeColor="text1"/>
          <w:sz w:val="32"/>
          <w:szCs w:val="32"/>
          <w14:textFill>
            <w14:solidFill>
              <w14:schemeClr w14:val="tx1"/>
            </w14:solidFill>
          </w14:textFill>
        </w:rPr>
        <w:t>出差次数较</w:t>
      </w:r>
      <w:r>
        <w:rPr>
          <w:rFonts w:hint="eastAsia" w:ascii="仿宋_GB2312" w:hAnsi="ˎ̥" w:eastAsia="仿宋_GB2312"/>
          <w:color w:val="000000" w:themeColor="text1"/>
          <w:sz w:val="32"/>
          <w:szCs w:val="32"/>
          <w:lang w:eastAsia="zh-CN"/>
          <w14:textFill>
            <w14:solidFill>
              <w14:schemeClr w14:val="tx1"/>
            </w14:solidFill>
          </w14:textFill>
        </w:rPr>
        <w:t>多，油价上涨、车辆老化、维修次数较多</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12.03</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万元。全年安排因公出国（境）团组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个，因公出国（境）</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12.03</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辆，年末公务用车保有量</w:t>
      </w:r>
      <w:r>
        <w:rPr>
          <w:rFonts w:hint="eastAsia" w:ascii="仿宋_GB2312" w:hAnsi="ˎ̥" w:eastAsia="仿宋_GB2312"/>
          <w:color w:val="000000" w:themeColor="text1"/>
          <w:sz w:val="32"/>
          <w:szCs w:val="32"/>
          <w:lang w:val="en-US" w:eastAsia="zh-CN"/>
          <w14:textFill>
            <w14:solidFill>
              <w14:schemeClr w14:val="tx1"/>
            </w14:solidFill>
          </w14:textFill>
        </w:rPr>
        <w:t>4</w:t>
      </w:r>
      <w:r>
        <w:rPr>
          <w:rFonts w:hint="eastAsia" w:ascii="仿宋_GB2312" w:hAnsi="ˎ̥" w:eastAsia="仿宋_GB2312"/>
          <w:color w:val="000000" w:themeColor="text1"/>
          <w:sz w:val="32"/>
          <w:szCs w:val="32"/>
          <w14:textFill>
            <w14:solidFill>
              <w14:schemeClr w14:val="tx1"/>
            </w14:solidFill>
          </w14:textFill>
        </w:rPr>
        <w:t>辆。</w:t>
      </w:r>
    </w:p>
    <w:p>
      <w:pPr>
        <w:spacing w:line="578" w:lineRule="exact"/>
        <w:ind w:firstLine="643"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12.03</w:t>
      </w:r>
      <w:r>
        <w:rPr>
          <w:rFonts w:hint="eastAsia" w:ascii="仿宋_GB2312" w:hAnsi="ˎ̥" w:eastAsia="仿宋_GB2312"/>
          <w:color w:val="000000" w:themeColor="text1"/>
          <w:sz w:val="32"/>
          <w:szCs w:val="32"/>
          <w14:textFill>
            <w14:solidFill>
              <w14:schemeClr w14:val="tx1"/>
            </w14:solidFill>
          </w14:textFill>
        </w:rPr>
        <w:t>万元，主要用于政府公车油料费及维修费。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0.48</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4.00</w:t>
      </w:r>
      <w:r>
        <w:rPr>
          <w:rFonts w:hint="eastAsia" w:ascii="仿宋_GB2312" w:hAnsi="ˎ̥" w:eastAsia="仿宋_GB2312"/>
          <w:color w:val="000000" w:themeColor="text1"/>
          <w:sz w:val="32"/>
          <w:szCs w:val="32"/>
          <w14:textFill>
            <w14:solidFill>
              <w14:schemeClr w14:val="tx1"/>
            </w14:solidFill>
          </w14:textFill>
        </w:rPr>
        <w:t>%，主要原因是</w:t>
      </w:r>
      <w:r>
        <w:rPr>
          <w:rFonts w:ascii="仿宋_GB2312" w:hAnsi="ˎ̥" w:eastAsia="仿宋_GB2312"/>
          <w:color w:val="000000" w:themeColor="text1"/>
          <w:sz w:val="32"/>
          <w:szCs w:val="32"/>
          <w14:textFill>
            <w14:solidFill>
              <w14:schemeClr w14:val="tx1"/>
            </w14:solidFill>
          </w14:textFill>
        </w:rPr>
        <w:t>是</w:t>
      </w:r>
      <w:r>
        <w:rPr>
          <w:rFonts w:hint="eastAsia" w:ascii="仿宋_GB2312" w:hAnsi="ˎ̥" w:eastAsia="仿宋_GB2312"/>
          <w:color w:val="000000" w:themeColor="text1"/>
          <w:sz w:val="32"/>
          <w:szCs w:val="32"/>
          <w:lang w:eastAsia="zh-CN"/>
          <w14:textFill>
            <w14:solidFill>
              <w14:schemeClr w14:val="tx1"/>
            </w14:solidFill>
          </w14:textFill>
        </w:rPr>
        <w:t>干部职工</w:t>
      </w:r>
      <w:r>
        <w:rPr>
          <w:rFonts w:hint="eastAsia" w:ascii="仿宋_GB2312" w:hAnsi="ˎ̥" w:eastAsia="仿宋_GB2312"/>
          <w:color w:val="000000" w:themeColor="text1"/>
          <w:sz w:val="32"/>
          <w:szCs w:val="32"/>
          <w14:textFill>
            <w14:solidFill>
              <w14:schemeClr w14:val="tx1"/>
            </w14:solidFill>
          </w14:textFill>
        </w:rPr>
        <w:t>出差次数较</w:t>
      </w:r>
      <w:r>
        <w:rPr>
          <w:rFonts w:hint="eastAsia" w:ascii="仿宋_GB2312" w:hAnsi="ˎ̥" w:eastAsia="仿宋_GB2312"/>
          <w:color w:val="000000" w:themeColor="text1"/>
          <w:sz w:val="32"/>
          <w:szCs w:val="32"/>
          <w:lang w:eastAsia="zh-CN"/>
          <w14:textFill>
            <w14:solidFill>
              <w14:schemeClr w14:val="tx1"/>
            </w14:solidFill>
          </w14:textFill>
        </w:rPr>
        <w:t>多，油价上涨、车辆老化、维修次数较多</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公务接待费支出决算数比预算数</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年度相关</w:t>
      </w:r>
      <w:r>
        <w:rPr>
          <w:rFonts w:ascii="仿宋_GB2312" w:hAnsi="ˎ̥" w:eastAsia="仿宋_GB2312"/>
          <w:color w:val="000000" w:themeColor="text1"/>
          <w:sz w:val="32"/>
          <w:szCs w:val="32"/>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部门决算报表</w:t>
      </w:r>
      <w:r>
        <w:rPr>
          <w:rFonts w:hint="eastAsia" w:ascii="仿宋_GB2312" w:hAnsi="ˎ̥" w:eastAsia="仿宋_GB2312"/>
          <w:color w:val="000000" w:themeColor="text1"/>
          <w:sz w:val="32"/>
          <w:szCs w:val="32"/>
          <w14:textFill>
            <w14:solidFill>
              <w14:schemeClr w14:val="tx1"/>
            </w14:solidFill>
          </w14:textFill>
        </w:rPr>
        <w:t>F03表《机构</w:t>
      </w:r>
      <w:r>
        <w:rPr>
          <w:rFonts w:ascii="仿宋_GB2312" w:hAnsi="ˎ̥" w:eastAsia="仿宋_GB2312"/>
          <w:color w:val="000000" w:themeColor="text1"/>
          <w:sz w:val="32"/>
          <w:szCs w:val="32"/>
          <w14:textFill>
            <w14:solidFill>
              <w14:schemeClr w14:val="tx1"/>
            </w14:solidFill>
          </w14:textFill>
        </w:rPr>
        <w:t>运行信息表》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根据财政预算绩效管理要求，可按照如下格式说明：根据预算管理要求，我部门（单位）组织对</w:t>
      </w:r>
      <w:r>
        <w:rPr>
          <w:rFonts w:hint="default" w:ascii="仿宋_GB2312" w:eastAsia="仿宋_GB2312"/>
          <w:color w:val="000000" w:themeColor="text1"/>
          <w:sz w:val="32"/>
          <w:szCs w:val="32"/>
          <w:lang w:val="en-US"/>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年度一般公共预算项目支出全面开展绩效自评</w:t>
      </w:r>
      <w:r>
        <w:rPr>
          <w:rFonts w:hint="default" w:ascii="仿宋_GB2312" w:eastAsia="仿宋_GB2312"/>
          <w:color w:val="000000" w:themeColor="text1"/>
          <w:sz w:val="32"/>
          <w:szCs w:val="32"/>
          <w:lang w:val="en-U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共涉及资金722.80万元，占一般公共预算项目支出总额的38.64%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个政府性基金预算项目开展绩效自评，共涉及资金</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万元，占政府性基金预算项目支出总额的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 xml:space="preserve">个国有资本经营预算项目开展绩效自评，共涉及资金 </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万元，占国有资本经营预算项目支出总额的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共组织对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bidi="ar"/>
          <w14:textFill>
            <w14:solidFill>
              <w14:schemeClr w14:val="tx1"/>
            </w14:solidFill>
          </w14:textFill>
        </w:rPr>
        <w:t>人大保障经费，</w:t>
      </w:r>
      <w:r>
        <w:rPr>
          <w:rFonts w:hint="eastAsia" w:ascii="仿宋_GB2312" w:eastAsia="仿宋_GB2312"/>
          <w:color w:val="000000" w:themeColor="text1"/>
          <w:sz w:val="32"/>
          <w:szCs w:val="32"/>
          <w:lang w:eastAsia="zh-CN" w:bidi="ar"/>
          <w14:textFill>
            <w14:solidFill>
              <w14:schemeClr w14:val="tx1"/>
            </w14:solidFill>
          </w14:textFill>
        </w:rPr>
        <w:t>党建经费”</w:t>
      </w:r>
      <w:r>
        <w:rPr>
          <w:rFonts w:hint="eastAsia" w:ascii="仿宋_GB2312" w:eastAsia="仿宋_GB2312"/>
          <w:color w:val="000000" w:themeColor="text1"/>
          <w:sz w:val="32"/>
          <w:szCs w:val="32"/>
          <w:lang w:bidi="ar"/>
          <w14:textFill>
            <w14:solidFill>
              <w14:schemeClr w14:val="tx1"/>
            </w14:solidFill>
          </w14:textFill>
        </w:rPr>
        <w:t>等</w:t>
      </w:r>
      <w:r>
        <w:rPr>
          <w:rFonts w:hint="eastAsia" w:ascii="仿宋_GB2312" w:eastAsia="仿宋_GB2312"/>
          <w:color w:val="000000" w:themeColor="text1"/>
          <w:sz w:val="32"/>
          <w:szCs w:val="32"/>
          <w:lang w:val="en-US" w:eastAsia="zh-CN" w:bidi="ar"/>
          <w14:textFill>
            <w14:solidFill>
              <w14:schemeClr w14:val="tx1"/>
            </w14:solidFill>
          </w14:textFill>
        </w:rPr>
        <w:t>87</w:t>
      </w:r>
      <w:r>
        <w:rPr>
          <w:rFonts w:hint="eastAsia" w:ascii="仿宋_GB2312" w:eastAsia="仿宋_GB2312"/>
          <w:color w:val="000000" w:themeColor="text1"/>
          <w:sz w:val="32"/>
          <w:szCs w:val="32"/>
          <w:lang w:bidi="ar"/>
          <w14:textFill>
            <w14:solidFill>
              <w14:schemeClr w14:val="tx1"/>
            </w14:solidFill>
          </w14:textFill>
        </w:rPr>
        <w:t>个</w:t>
      </w:r>
      <w:r>
        <w:rPr>
          <w:rFonts w:hint="eastAsia" w:ascii="仿宋_GB2312" w:eastAsia="仿宋_GB2312"/>
          <w:color w:val="000000" w:themeColor="text1"/>
          <w:sz w:val="32"/>
          <w:szCs w:val="32"/>
          <w14:textFill>
            <w14:solidFill>
              <w14:schemeClr w14:val="tx1"/>
            </w14:solidFill>
          </w14:textFill>
        </w:rPr>
        <w:t>项目开展了部门评价，</w:t>
      </w:r>
      <w:r>
        <w:rPr>
          <w:rFonts w:hint="eastAsia" w:ascii="仿宋_GB2312" w:eastAsia="仿宋_GB2312"/>
          <w:color w:val="000000" w:themeColor="text1"/>
          <w:sz w:val="32"/>
          <w:szCs w:val="32"/>
          <w:lang w:bidi="ar"/>
          <w14:textFill>
            <w14:solidFill>
              <w14:schemeClr w14:val="tx1"/>
            </w14:solidFill>
          </w14:textFill>
        </w:rPr>
        <w:t>涉及一般公共预算支出</w:t>
      </w:r>
      <w:r>
        <w:rPr>
          <w:rFonts w:hint="eastAsia" w:ascii="仿宋_GB2312" w:eastAsia="仿宋_GB2312"/>
          <w:color w:val="000000" w:themeColor="text1"/>
          <w:sz w:val="32"/>
          <w:szCs w:val="32"/>
          <w:lang w:val="en-US" w:eastAsia="zh-CN" w:bidi="ar"/>
          <w14:textFill>
            <w14:solidFill>
              <w14:schemeClr w14:val="tx1"/>
            </w14:solidFill>
          </w14:textFill>
        </w:rPr>
        <w:t>722.80</w:t>
      </w:r>
      <w:r>
        <w:rPr>
          <w:rFonts w:hint="eastAsia" w:ascii="仿宋_GB2312" w:eastAsia="仿宋_GB2312"/>
          <w:color w:val="000000" w:themeColor="text1"/>
          <w:sz w:val="32"/>
          <w:szCs w:val="32"/>
          <w:lang w:bidi="ar"/>
          <w14:textFill>
            <w14:solidFill>
              <w14:schemeClr w14:val="tx1"/>
            </w14:solidFill>
          </w14:textFill>
        </w:rPr>
        <w:t>万元，政府性基金预算支出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万元，国有资本经营预算支出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从评价情况来看，（预算部门如有，请对预算绩效评价情况进行简单说明；没有，则简要说明本年没有进行相关工作及理由。部门所属单位不需填写此项）。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参照如下格式说明（表述应与决算内容保持一致）：我部门（单位）在部门决算中反映</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95" w:name="_Toc18325_WPSOffice_Level2"/>
      <w:bookmarkStart w:id="96" w:name="_Toc32639_WPSOffice_Level2"/>
      <w:bookmarkStart w:id="97" w:name="_Toc5978_WPSOffice_Level2"/>
      <w:bookmarkStart w:id="98" w:name="_Toc15565_WPSOffice_Level2"/>
      <w:bookmarkStart w:id="99" w:name="_Toc15262_WPSOffice_Level2"/>
      <w:bookmarkStart w:id="100" w:name="_Toc23598_WPSOffice_Level2"/>
      <w:r>
        <w:rPr>
          <w:rFonts w:hint="eastAsia" w:ascii="楷体" w:hAnsi="楷体" w:eastAsia="楷体" w:cs="楷体"/>
          <w:bCs/>
          <w:color w:val="000000" w:themeColor="text1"/>
          <w:sz w:val="32"/>
          <w:szCs w:val="32"/>
          <w14:textFill>
            <w14:solidFill>
              <w14:schemeClr w14:val="tx1"/>
            </w14:solidFill>
          </w14:textFill>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年度色雄乡人民政府部门（单位）机关运行经费</w:t>
      </w:r>
      <w:r>
        <w:rPr>
          <w:rFonts w:hint="eastAsia" w:ascii="仿宋_GB2312" w:hAnsi="ˎ̥" w:eastAsia="仿宋_GB2312"/>
          <w:color w:val="000000" w:themeColor="text1"/>
          <w:sz w:val="32"/>
          <w:szCs w:val="32"/>
          <w:lang w:val="en-US" w:eastAsia="zh-CN"/>
          <w14:textFill>
            <w14:solidFill>
              <w14:schemeClr w14:val="tx1"/>
            </w14:solidFill>
          </w14:textFill>
        </w:rPr>
        <w:t>113.49</w:t>
      </w:r>
      <w:r>
        <w:rPr>
          <w:rFonts w:hint="eastAsia" w:ascii="仿宋_GB2312" w:hAnsi="ˎ̥" w:eastAsia="仿宋_GB2312"/>
          <w:color w:val="000000" w:themeColor="text1"/>
          <w:sz w:val="32"/>
          <w:szCs w:val="32"/>
          <w14:textFill>
            <w14:solidFill>
              <w14:schemeClr w14:val="tx1"/>
            </w14:solidFill>
          </w14:textFill>
        </w:rPr>
        <w:t>万元（为部门决算中行政单位和参公事业单位财政拨款基本支出中公用经费支出之和，事业单位没有机关运行经费支出），比年初预算</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完成预算的97.63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与2023年度相比，机关运行经费</w:t>
      </w:r>
      <w:r>
        <w:rPr>
          <w:rFonts w:hint="eastAsia" w:ascii="仿宋_GB2312" w:hAnsi="ˎ̥" w:eastAsia="仿宋_GB2312"/>
          <w:color w:val="000000" w:themeColor="text1"/>
          <w:sz w:val="32"/>
          <w:szCs w:val="32"/>
          <w14:textFill>
            <w14:solidFill>
              <w14:schemeClr w14:val="tx1"/>
            </w14:solidFill>
          </w14:textFill>
        </w:rPr>
        <w:t>增加</w:t>
      </w:r>
      <w:r>
        <w:rPr>
          <w:rFonts w:hint="eastAsia" w:ascii="仿宋_GB2312" w:hAnsi="ˎ̥" w:eastAsia="仿宋_GB2312"/>
          <w:color w:val="000000" w:themeColor="text1"/>
          <w:sz w:val="32"/>
          <w:szCs w:val="32"/>
          <w:lang w:val="en-US" w:eastAsia="zh-CN"/>
          <w14:textFill>
            <w14:solidFill>
              <w14:schemeClr w14:val="tx1"/>
            </w14:solidFill>
          </w14:textFill>
        </w:rPr>
        <w:t>20.49</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增长22.03%。</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干部职工用氧经费</w:t>
      </w:r>
      <w:r>
        <w:rPr>
          <w:rFonts w:hint="eastAsia" w:ascii="仿宋_GB2312" w:hAnsi="ˎ̥" w:eastAsia="仿宋_GB2312"/>
          <w:color w:val="000000" w:themeColor="text1"/>
          <w:sz w:val="32"/>
          <w:szCs w:val="32"/>
          <w:lang w:bidi="ar"/>
          <w14:textFill>
            <w14:solidFill>
              <w14:schemeClr w14:val="tx1"/>
            </w14:solidFill>
          </w14:textFill>
        </w:rPr>
        <w:t>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01" w:name="_Toc3131_WPSOffice_Level2"/>
      <w:bookmarkStart w:id="102" w:name="_Toc25333_WPSOffice_Level2"/>
      <w:bookmarkStart w:id="103" w:name="_Toc13084_WPSOffice_Level2"/>
      <w:bookmarkStart w:id="104" w:name="_Toc23966_WPSOffice_Level2"/>
      <w:bookmarkStart w:id="105" w:name="_Toc32689_WPSOffice_Level2"/>
      <w:bookmarkStart w:id="106" w:name="_Toc30383_WPSOffice_Level2"/>
      <w:r>
        <w:rPr>
          <w:rFonts w:hint="eastAsia" w:ascii="楷体" w:hAnsi="楷体" w:eastAsia="楷体" w:cs="楷体"/>
          <w:bCs/>
          <w:color w:val="000000" w:themeColor="text1"/>
          <w:sz w:val="32"/>
          <w:szCs w:val="32"/>
          <w14:textFill>
            <w14:solidFill>
              <w14:schemeClr w14:val="tx1"/>
            </w14:solidFill>
          </w14:textFill>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部门（单位）政府采购支出总额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万元，其中：政府采购货物支出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万元、政府采购工程支出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万元、政府采购服务支出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万元。授予中小企业合同金额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万元，占政府采购支出总额的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%，其中：授予小微企业合同金额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授予中小企业合同金额</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上述政府采购支出相关</w:t>
      </w:r>
      <w:r>
        <w:rPr>
          <w:rFonts w:hint="eastAsia" w:ascii="仿宋_GB2312" w:hAnsi="ˎ̥" w:eastAsia="仿宋_GB2312"/>
          <w:color w:val="000000" w:themeColor="text1"/>
          <w:sz w:val="32"/>
          <w:szCs w:val="32"/>
          <w:lang w:val="en-US" w:eastAsia="zh-CN"/>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07" w:name="_Toc527_WPSOffice_Level2"/>
      <w:bookmarkStart w:id="108" w:name="_Toc6016_WPSOffice_Level2"/>
      <w:bookmarkStart w:id="109" w:name="_Toc19989_WPSOffice_Level2"/>
      <w:bookmarkStart w:id="110" w:name="_Toc15129_WPSOffice_Level2"/>
      <w:bookmarkStart w:id="111" w:name="_Toc10902_WPSOffice_Level2"/>
      <w:bookmarkStart w:id="112" w:name="_Toc29584_WPSOffice_Level2"/>
      <w:r>
        <w:rPr>
          <w:rFonts w:hint="eastAsia" w:ascii="楷体" w:hAnsi="楷体" w:eastAsia="楷体" w:cs="楷体"/>
          <w:bCs/>
          <w:color w:val="000000" w:themeColor="text1"/>
          <w:sz w:val="32"/>
          <w:szCs w:val="32"/>
          <w14:textFill>
            <w14:solidFill>
              <w14:schemeClr w14:val="tx1"/>
            </w14:solidFill>
          </w14:textFill>
        </w:rPr>
        <w:t>（三）国有资产占用情况</w:t>
      </w:r>
      <w:bookmarkEnd w:id="107"/>
      <w:bookmarkEnd w:id="108"/>
      <w:bookmarkEnd w:id="109"/>
      <w:bookmarkEnd w:id="110"/>
      <w:bookmarkEnd w:id="111"/>
      <w:bookmarkEnd w:id="112"/>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bCs/>
          <w:color w:val="000000" w:themeColor="text1"/>
          <w:sz w:val="32"/>
          <w:szCs w:val="32"/>
          <w14:textFill>
            <w14:solidFill>
              <w14:schemeClr w14:val="tx1"/>
            </w14:solidFill>
          </w14:textFill>
        </w:rPr>
        <w:t>截至</w:t>
      </w:r>
      <w:r>
        <w:rPr>
          <w:rFonts w:hint="default" w:ascii="仿宋_GB2312" w:hAnsi="ˎ̥" w:eastAsia="仿宋_GB2312"/>
          <w:bCs/>
          <w:color w:val="000000" w:themeColor="text1"/>
          <w:sz w:val="32"/>
          <w:szCs w:val="32"/>
          <w:lang w:val="en-US"/>
          <w14:textFill>
            <w14:solidFill>
              <w14:schemeClr w14:val="tx1"/>
            </w14:solidFill>
          </w14:textFill>
        </w:rPr>
        <w:t>2024</w:t>
      </w:r>
      <w:r>
        <w:rPr>
          <w:rFonts w:hint="eastAsia" w:ascii="仿宋_GB2312" w:hAnsi="ˎ̥" w:eastAsia="仿宋_GB2312"/>
          <w:bCs/>
          <w:color w:val="000000" w:themeColor="text1"/>
          <w:sz w:val="32"/>
          <w:szCs w:val="32"/>
          <w14:textFill>
            <w14:solidFill>
              <w14:schemeClr w14:val="tx1"/>
            </w14:solidFill>
          </w14:textFill>
        </w:rPr>
        <w:t>年12月31日，</w:t>
      </w:r>
      <w:r>
        <w:rPr>
          <w:rFonts w:hint="eastAsia" w:ascii="仿宋_GB2312" w:hAnsi="ˎ̥" w:eastAsia="仿宋_GB2312"/>
          <w:bCs/>
          <w:color w:val="auto"/>
          <w:sz w:val="32"/>
          <w:szCs w:val="32"/>
        </w:rPr>
        <w:t>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6688.53</w:t>
      </w:r>
      <w:r>
        <w:rPr>
          <w:rFonts w:hint="eastAsia" w:ascii="仿宋_GB2312" w:hAnsi="ˎ̥" w:eastAsia="仿宋_GB2312"/>
          <w:color w:val="auto"/>
          <w:sz w:val="32"/>
          <w:szCs w:val="32"/>
        </w:rPr>
        <w:t>平</w:t>
      </w:r>
      <w:r>
        <w:rPr>
          <w:rFonts w:hint="eastAsia" w:ascii="仿宋_GB2312" w:hAnsi="ˎ̥" w:eastAsia="仿宋_GB2312"/>
          <w:color w:val="000000" w:themeColor="text1"/>
          <w:sz w:val="32"/>
          <w:szCs w:val="32"/>
          <w14:textFill>
            <w14:solidFill>
              <w14:schemeClr w14:val="tx1"/>
            </w14:solidFill>
          </w14:textFill>
        </w:rPr>
        <w:t>方米</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本部门共有车辆</w:t>
      </w:r>
      <w:r>
        <w:rPr>
          <w:rFonts w:hint="eastAsia" w:ascii="仿宋_GB2312" w:hAnsi="ˎ̥" w:eastAsia="仿宋_GB2312"/>
          <w:color w:val="000000" w:themeColor="text1"/>
          <w:sz w:val="32"/>
          <w:szCs w:val="32"/>
          <w:lang w:val="en-US" w:eastAsia="zh-CN"/>
          <w14:textFill>
            <w14:solidFill>
              <w14:schemeClr w14:val="tx1"/>
            </w14:solidFill>
          </w14:textFill>
        </w:rPr>
        <w:t>4</w:t>
      </w:r>
      <w:r>
        <w:rPr>
          <w:rFonts w:hint="eastAsia" w:ascii="仿宋_GB2312" w:hAnsi="ˎ̥" w:eastAsia="仿宋_GB2312"/>
          <w:color w:val="000000" w:themeColor="text1"/>
          <w:sz w:val="32"/>
          <w:szCs w:val="32"/>
          <w14:textFill>
            <w14:solidFill>
              <w14:schemeClr w14:val="tx1"/>
            </w14:solidFill>
          </w14:textFill>
        </w:rPr>
        <w:t>辆，其中，副部（省）级及以上领导用车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辆、主要负责人用车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辆、机要通信用车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辆、应急保障用车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辆、执法执勤用车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辆、特种专业技术用车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辆、离退休干部服务用车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辆、其他用车4辆，其他用车主要是：</w:t>
      </w:r>
      <w:r>
        <w:rPr>
          <w:rFonts w:hint="eastAsia" w:ascii="仿宋_GB2312" w:hAnsi="ˎ̥" w:eastAsia="仿宋_GB2312"/>
          <w:color w:val="auto"/>
          <w:sz w:val="32"/>
          <w:szCs w:val="32"/>
        </w:rPr>
        <w:t>乡政府2辆</w:t>
      </w:r>
      <w:r>
        <w:rPr>
          <w:rFonts w:hint="eastAsia" w:ascii="仿宋_GB2312" w:hAnsi="ˎ̥" w:eastAsia="仿宋_GB2312"/>
          <w:color w:val="auto"/>
          <w:sz w:val="32"/>
          <w:szCs w:val="32"/>
          <w:lang w:eastAsia="zh-CN"/>
        </w:rPr>
        <w:t>车主要用于：干部职工下村调研民生、政策宣讲、基层事项现场办理、出差等工作。</w:t>
      </w:r>
      <w:r>
        <w:rPr>
          <w:rFonts w:hint="eastAsia" w:ascii="仿宋_GB2312" w:hAnsi="ˎ̥" w:eastAsia="仿宋_GB2312"/>
          <w:color w:val="auto"/>
          <w:sz w:val="32"/>
          <w:szCs w:val="32"/>
        </w:rPr>
        <w:t>卫生院1辆</w:t>
      </w:r>
      <w:r>
        <w:rPr>
          <w:rFonts w:hint="eastAsia" w:ascii="仿宋_GB2312" w:hAnsi="ˎ̥" w:eastAsia="仿宋_GB2312"/>
          <w:color w:val="auto"/>
          <w:sz w:val="32"/>
          <w:szCs w:val="32"/>
          <w:lang w:eastAsia="zh-CN"/>
        </w:rPr>
        <w:t>车主要用于：下村开展基层医疗服务及医护人员因公出差等。</w:t>
      </w:r>
      <w:r>
        <w:rPr>
          <w:rFonts w:hint="eastAsia" w:ascii="仿宋_GB2312" w:hAnsi="ˎ̥" w:eastAsia="仿宋_GB2312"/>
          <w:color w:val="auto"/>
          <w:sz w:val="32"/>
          <w:szCs w:val="32"/>
        </w:rPr>
        <w:t>农牧综合服务中心1辆</w:t>
      </w:r>
      <w:r>
        <w:rPr>
          <w:rFonts w:hint="eastAsia" w:ascii="仿宋_GB2312" w:hAnsi="ˎ̥" w:eastAsia="仿宋_GB2312"/>
          <w:color w:val="auto"/>
          <w:sz w:val="32"/>
          <w:szCs w:val="32"/>
          <w:lang w:eastAsia="zh-CN"/>
        </w:rPr>
        <w:t>车主要用于：下村开展专技人员指导和实操服务及专技人员因公出差、下村宣讲政策及疫苗接种及到区农科站领取疫苗和常规药物、防护物资等工作。</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单价100万元（含）以上设备（不含车辆）0台（套）。</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上述国有资产占用情况相关数</w:t>
      </w:r>
      <w:r>
        <w:rPr>
          <w:rFonts w:hint="eastAsia" w:ascii="仿宋_GB2312" w:hAnsi="ˎ̥" w:eastAsia="仿宋_GB2312"/>
          <w:color w:val="000000" w:themeColor="text1"/>
          <w:sz w:val="32"/>
          <w:szCs w:val="32"/>
          <w:lang w:val="en-US" w:eastAsia="zh-CN"/>
          <w14:textFill>
            <w14:solidFill>
              <w14:schemeClr w14:val="tx1"/>
            </w14:solidFill>
          </w14:textFill>
        </w:rPr>
        <w:t>据</w:t>
      </w:r>
      <w:r>
        <w:rPr>
          <w:rFonts w:hint="eastAsia" w:ascii="仿宋_GB2312" w:hAnsi="ˎ̥" w:eastAsia="仿宋_GB2312"/>
          <w:color w:val="000000" w:themeColor="text1"/>
          <w:sz w:val="32"/>
          <w:szCs w:val="32"/>
          <w14:textFill>
            <w14:solidFill>
              <w14:schemeClr w14:val="tx1"/>
            </w14:solidFill>
          </w14:textFill>
        </w:rPr>
        <w:t>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年度部门决算F0</w:t>
      </w:r>
      <w:r>
        <w:rPr>
          <w:rFonts w:hint="default" w:ascii="仿宋_GB2312" w:hAnsi="ˎ̥" w:eastAsia="仿宋_GB2312"/>
          <w:color w:val="000000" w:themeColor="text1"/>
          <w:sz w:val="32"/>
          <w:szCs w:val="32"/>
          <w:lang w:val="en-US"/>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bookmarkStart w:id="113" w:name="_Toc15425_WPSOffice_Level1"/>
      <w:bookmarkStart w:id="114" w:name="_Toc8874_WPSOffice_Level1"/>
      <w:bookmarkStart w:id="115" w:name="_Toc11039_WPSOffice_Level1"/>
      <w:bookmarkStart w:id="116" w:name="_Toc4398_WPSOffice_Level1"/>
      <w:bookmarkStart w:id="117" w:name="_Toc8808_WPSOffice_Level1"/>
      <w:bookmarkStart w:id="118"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000000" w:themeColor="text1"/>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支出功能分类的名词解释，各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单位根据实际支出情况填列，可参阅财政部印发的《</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年政府收支分类科目》</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YjVhOWNjOGY2NGM4OWY0ZDVkZTMzZWE4ZTcxYzkifQ=="/>
  </w:docVars>
  <w:rsids>
    <w:rsidRoot w:val="A7F73C99"/>
    <w:rsid w:val="00064A91"/>
    <w:rsid w:val="000718C4"/>
    <w:rsid w:val="000779B0"/>
    <w:rsid w:val="001E4E23"/>
    <w:rsid w:val="001E510D"/>
    <w:rsid w:val="001F28C1"/>
    <w:rsid w:val="001F4EC0"/>
    <w:rsid w:val="00213789"/>
    <w:rsid w:val="002A6E07"/>
    <w:rsid w:val="0034456B"/>
    <w:rsid w:val="003D2F77"/>
    <w:rsid w:val="00420759"/>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C20BC1"/>
    <w:rsid w:val="02781BC8"/>
    <w:rsid w:val="02E90BC7"/>
    <w:rsid w:val="034D095E"/>
    <w:rsid w:val="03D82979"/>
    <w:rsid w:val="03EA7C84"/>
    <w:rsid w:val="06C35235"/>
    <w:rsid w:val="078C1FB3"/>
    <w:rsid w:val="08D51B22"/>
    <w:rsid w:val="090221EB"/>
    <w:rsid w:val="09201287"/>
    <w:rsid w:val="09421EC5"/>
    <w:rsid w:val="09F80CB7"/>
    <w:rsid w:val="0A411ADD"/>
    <w:rsid w:val="0AE41BA8"/>
    <w:rsid w:val="0BC83447"/>
    <w:rsid w:val="0D4C612B"/>
    <w:rsid w:val="0DB13990"/>
    <w:rsid w:val="0F6A6824"/>
    <w:rsid w:val="0F83001E"/>
    <w:rsid w:val="0FC80124"/>
    <w:rsid w:val="108A1357"/>
    <w:rsid w:val="10CF0912"/>
    <w:rsid w:val="112A00BA"/>
    <w:rsid w:val="114A36D2"/>
    <w:rsid w:val="11936CFC"/>
    <w:rsid w:val="127E6D86"/>
    <w:rsid w:val="1312127D"/>
    <w:rsid w:val="132E137E"/>
    <w:rsid w:val="1331207B"/>
    <w:rsid w:val="136F98C7"/>
    <w:rsid w:val="13AE71F7"/>
    <w:rsid w:val="1407738C"/>
    <w:rsid w:val="150A1C2D"/>
    <w:rsid w:val="15464746"/>
    <w:rsid w:val="15D103B5"/>
    <w:rsid w:val="15E45152"/>
    <w:rsid w:val="16677B31"/>
    <w:rsid w:val="167F30CD"/>
    <w:rsid w:val="17427E68"/>
    <w:rsid w:val="1755065F"/>
    <w:rsid w:val="1AFC29C9"/>
    <w:rsid w:val="1BF73705"/>
    <w:rsid w:val="1C6F7740"/>
    <w:rsid w:val="1CA52F2E"/>
    <w:rsid w:val="1CF82BA1"/>
    <w:rsid w:val="1D157E20"/>
    <w:rsid w:val="1DA82B02"/>
    <w:rsid w:val="1DFE370B"/>
    <w:rsid w:val="1E3630B9"/>
    <w:rsid w:val="1E8E0351"/>
    <w:rsid w:val="22041619"/>
    <w:rsid w:val="23DC56BB"/>
    <w:rsid w:val="24701C47"/>
    <w:rsid w:val="24B108F5"/>
    <w:rsid w:val="25151DA3"/>
    <w:rsid w:val="256C0CC0"/>
    <w:rsid w:val="26EEC2B5"/>
    <w:rsid w:val="29472309"/>
    <w:rsid w:val="2A5B0C3F"/>
    <w:rsid w:val="2A63088D"/>
    <w:rsid w:val="2A8737BD"/>
    <w:rsid w:val="2ADD33F0"/>
    <w:rsid w:val="2B347A72"/>
    <w:rsid w:val="2B406E77"/>
    <w:rsid w:val="2C2A0C43"/>
    <w:rsid w:val="2D1E73A5"/>
    <w:rsid w:val="2E9A064C"/>
    <w:rsid w:val="2ED74DED"/>
    <w:rsid w:val="2F462582"/>
    <w:rsid w:val="2FA44147"/>
    <w:rsid w:val="30F70925"/>
    <w:rsid w:val="31961040"/>
    <w:rsid w:val="31FB6130"/>
    <w:rsid w:val="324F30E2"/>
    <w:rsid w:val="32717154"/>
    <w:rsid w:val="33356B95"/>
    <w:rsid w:val="343A5227"/>
    <w:rsid w:val="3463331D"/>
    <w:rsid w:val="34B63260"/>
    <w:rsid w:val="34D643A8"/>
    <w:rsid w:val="379C67F0"/>
    <w:rsid w:val="37FDA7E2"/>
    <w:rsid w:val="38DA37CC"/>
    <w:rsid w:val="39FE4185"/>
    <w:rsid w:val="3A314D88"/>
    <w:rsid w:val="3A746883"/>
    <w:rsid w:val="3B755966"/>
    <w:rsid w:val="3C8E42AC"/>
    <w:rsid w:val="3CA15DE9"/>
    <w:rsid w:val="3FE61EE5"/>
    <w:rsid w:val="404E573A"/>
    <w:rsid w:val="406508EE"/>
    <w:rsid w:val="408D6263"/>
    <w:rsid w:val="41266364"/>
    <w:rsid w:val="41B40CEE"/>
    <w:rsid w:val="437B29A2"/>
    <w:rsid w:val="43951082"/>
    <w:rsid w:val="43B87ABF"/>
    <w:rsid w:val="445708DC"/>
    <w:rsid w:val="44D501D8"/>
    <w:rsid w:val="44F22B38"/>
    <w:rsid w:val="4508235C"/>
    <w:rsid w:val="45EB3B5C"/>
    <w:rsid w:val="478832E0"/>
    <w:rsid w:val="48317291"/>
    <w:rsid w:val="485F7024"/>
    <w:rsid w:val="48E70666"/>
    <w:rsid w:val="49D23A14"/>
    <w:rsid w:val="4AF64A04"/>
    <w:rsid w:val="4B2477C4"/>
    <w:rsid w:val="4B833D95"/>
    <w:rsid w:val="4C256920"/>
    <w:rsid w:val="4C6877E5"/>
    <w:rsid w:val="4C6A56AA"/>
    <w:rsid w:val="4C6B4F7E"/>
    <w:rsid w:val="4C6D519A"/>
    <w:rsid w:val="4C83676C"/>
    <w:rsid w:val="4CC84CD1"/>
    <w:rsid w:val="4D6A468D"/>
    <w:rsid w:val="4DA96C35"/>
    <w:rsid w:val="4EA86137"/>
    <w:rsid w:val="4F21533A"/>
    <w:rsid w:val="5300467D"/>
    <w:rsid w:val="55E02539"/>
    <w:rsid w:val="56CA7FD0"/>
    <w:rsid w:val="574A6804"/>
    <w:rsid w:val="57AC7E41"/>
    <w:rsid w:val="57FA38D1"/>
    <w:rsid w:val="58455654"/>
    <w:rsid w:val="5A41785A"/>
    <w:rsid w:val="5AA004E9"/>
    <w:rsid w:val="5BE643BE"/>
    <w:rsid w:val="5F697A43"/>
    <w:rsid w:val="5F7D3333"/>
    <w:rsid w:val="60CB32BA"/>
    <w:rsid w:val="61385890"/>
    <w:rsid w:val="61614E76"/>
    <w:rsid w:val="627B5AC3"/>
    <w:rsid w:val="62980106"/>
    <w:rsid w:val="64850E7B"/>
    <w:rsid w:val="6509385A"/>
    <w:rsid w:val="660F21B7"/>
    <w:rsid w:val="665723A3"/>
    <w:rsid w:val="67CE48E7"/>
    <w:rsid w:val="686409DA"/>
    <w:rsid w:val="687436E1"/>
    <w:rsid w:val="68956B5F"/>
    <w:rsid w:val="69821E2D"/>
    <w:rsid w:val="69F252F3"/>
    <w:rsid w:val="6C3C5633"/>
    <w:rsid w:val="6D686434"/>
    <w:rsid w:val="6DA45C50"/>
    <w:rsid w:val="6E2C34FB"/>
    <w:rsid w:val="6E9A7825"/>
    <w:rsid w:val="6F670F9B"/>
    <w:rsid w:val="6F81370D"/>
    <w:rsid w:val="70253B64"/>
    <w:rsid w:val="70980188"/>
    <w:rsid w:val="737450E0"/>
    <w:rsid w:val="74054476"/>
    <w:rsid w:val="742F38C4"/>
    <w:rsid w:val="74715B22"/>
    <w:rsid w:val="74815D46"/>
    <w:rsid w:val="74AB66DC"/>
    <w:rsid w:val="74C4154C"/>
    <w:rsid w:val="75956FFF"/>
    <w:rsid w:val="77616036"/>
    <w:rsid w:val="77AA2D01"/>
    <w:rsid w:val="77C37DF5"/>
    <w:rsid w:val="77DB2625"/>
    <w:rsid w:val="7AB20098"/>
    <w:rsid w:val="7AB57666"/>
    <w:rsid w:val="7C5036C5"/>
    <w:rsid w:val="7CCB71F0"/>
    <w:rsid w:val="7CDE1DBD"/>
    <w:rsid w:val="7D943A85"/>
    <w:rsid w:val="7DB0448C"/>
    <w:rsid w:val="7E5F9AA4"/>
    <w:rsid w:val="7E7318ED"/>
    <w:rsid w:val="7FF32CE5"/>
    <w:rsid w:val="7FFA407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7310</Words>
  <Characters>7966</Characters>
  <Lines>67</Lines>
  <Paragraphs>18</Paragraphs>
  <TotalTime>0</TotalTime>
  <ScaleCrop>false</ScaleCrop>
  <LinksUpToDate>false</LinksUpToDate>
  <CharactersWithSpaces>8034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2025-10-11T10:32:56Z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747CD98E413E490BA6232E3C8588B220</vt:lpwstr>
  </property>
  <property fmtid="{D5CDD505-2E9C-101B-9397-08002B2CF9AE}" pid="4" name="KSOTemplateDocerSaveRecord">
    <vt:lpwstr>eyJoZGlkIjoiY2VlZThlZDk5ZTQ4MTFjNGY3MjIxNTdiOWMzZmQwMWMiLCJ1c2VySWQiOiIyMzQ5MTc1OTYifQ==</vt:lpwstr>
  </property>
</Properties>
</file>