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色尼区达萨乡人民政府机关2024年度部门决算公开报告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3465_WPSOffice_Level1"/>
      <w:bookmarkStart w:id="3" w:name="_Toc32433_WPSOffice_Level1"/>
      <w:bookmarkStart w:id="4" w:name="_Toc10720_WPSOffice_Level1"/>
      <w:bookmarkStart w:id="5" w:name="_Toc1704_WPSOffice_Level1"/>
      <w:bookmarkStart w:id="6" w:name="_Toc10049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20274_WPSOffice_Level2"/>
      <w:bookmarkStart w:id="13" w:name="_Toc32622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8" w:lineRule="exact"/>
        <w:ind w:firstLine="640" w:firstLineChars="200"/>
        <w:rPr>
          <w:rFonts w:hint="eastAsia" w:ascii="仿宋_GB2312" w:hAnsi="ˎ̥" w:eastAsia="仿宋_GB2312" w:cs="Times New Roman"/>
          <w:color w:val="auto"/>
          <w:sz w:val="32"/>
          <w:szCs w:val="32"/>
        </w:rPr>
      </w:pPr>
      <w:r>
        <w:rPr>
          <w:rFonts w:hint="eastAsia" w:ascii="仿宋_GB2312" w:hAnsi="ˎ̥" w:eastAsia="仿宋_GB2312" w:cs="Times New Roman"/>
          <w:color w:val="auto"/>
          <w:sz w:val="32"/>
          <w:szCs w:val="32"/>
        </w:rPr>
        <w:t>（一）贯彻落实党和国家在乡村各项方针政策和法律法规，做好群众工作。促进经济发展，增加群众收入，科学制定乡村发展规划，推动产业结构调整；大力发展民营经济，培育和发展农村经济合作组织，经济实体。搞好农业新技术示范，促进农业技术推广。搞好政策信息咨询服务。</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rPr>
        <w:t>（二）强化公共服务，着力改善民生。拓宽服务渠道，改服务方式，方便群众办事；推进依法行政，严格依法履行职责；着力解决群众生产生活中的突出问题，切实维护牧民合法权益；加强基础设施建设，改善群众生产生活环境；做好乡村社会保障工作，扩大乡村新型合作医疗覆盖面，建立健全最低生活保障制度。做好育龄妇女普查和生殖健康检查；保证粮食直补，农资直补等惠农政策落实到户</w:t>
      </w:r>
      <w:r>
        <w:rPr>
          <w:rFonts w:hint="eastAsia" w:ascii="仿宋_GB2312" w:hAnsi="ˎ̥" w:eastAsia="仿宋_GB2312" w:cs="Times New Roman"/>
          <w:color w:val="auto"/>
          <w:sz w:val="32"/>
          <w:szCs w:val="32"/>
          <w:lang w:eastAsia="zh-CN"/>
        </w:rPr>
        <w:t>。</w:t>
      </w:r>
    </w:p>
    <w:p>
      <w:pPr>
        <w:spacing w:line="578" w:lineRule="exact"/>
        <w:ind w:firstLine="640" w:firstLineChars="200"/>
        <w:rPr>
          <w:rFonts w:hint="eastAsia" w:ascii="仿宋_GB2312" w:hAnsi="ˎ̥" w:eastAsia="仿宋_GB2312" w:cs="Times New Roman"/>
          <w:color w:val="auto"/>
          <w:sz w:val="32"/>
          <w:szCs w:val="32"/>
        </w:rPr>
      </w:pPr>
      <w:r>
        <w:rPr>
          <w:rFonts w:hint="eastAsia" w:ascii="仿宋_GB2312" w:hAnsi="ˎ̥" w:eastAsia="仿宋_GB2312" w:cs="Times New Roman"/>
          <w:color w:val="auto"/>
          <w:sz w:val="32"/>
          <w:szCs w:val="32"/>
        </w:rPr>
        <w:t>（三）加强社会管理、维护农村稳定。加强农村教育、卫生、文化、体育、环境保护等社会事业管理，促进农村经济社会健康、和谐可持续发展；加强安全生产管理，做好安全生产监督检查、隐患排查；加强社会治安综合治理，发挥民调作用，化解社会矛盾，消除社会不稳定因素；妥善处理突发性群体性事件，确保人民群众生命财产安全。</w:t>
      </w:r>
    </w:p>
    <w:p>
      <w:pPr>
        <w:spacing w:line="578" w:lineRule="exact"/>
        <w:ind w:firstLine="640" w:firstLineChars="200"/>
        <w:rPr>
          <w:rFonts w:hint="eastAsia" w:ascii="黑体" w:hAnsi="黑体" w:eastAsia="黑体" w:cs="黑体"/>
          <w:sz w:val="32"/>
          <w:szCs w:val="32"/>
        </w:rPr>
      </w:pPr>
      <w:r>
        <w:rPr>
          <w:rFonts w:hint="eastAsia" w:ascii="仿宋_GB2312" w:hAnsi="ˎ̥" w:eastAsia="仿宋_GB2312" w:cs="Times New Roman"/>
          <w:color w:val="auto"/>
          <w:sz w:val="32"/>
          <w:szCs w:val="32"/>
        </w:rPr>
        <w:t>（四）推进基层民主、促进社会和谐。坚持党的领导，保障群众选举权；健全完善村党组织领导的村民自治机制，保障村民参与权；健全村务公开制度，保障农民群众的知情权；强化村务管理监督制约机制，保障农民群众监督权；着力解决群众生产生活的突出问题，切实维护农民合法权益。密切党群关系，促进和谐社会建设。</w:t>
      </w:r>
    </w:p>
    <w:p>
      <w:pPr>
        <w:spacing w:line="578" w:lineRule="exact"/>
        <w:ind w:firstLine="640" w:firstLineChars="200"/>
        <w:rPr>
          <w:rFonts w:hint="eastAsia" w:ascii="黑体" w:hAnsi="黑体" w:eastAsia="黑体" w:cs="黑体"/>
          <w:sz w:val="32"/>
          <w:szCs w:val="32"/>
        </w:rPr>
      </w:pPr>
      <w:bookmarkStart w:id="14" w:name="_Toc6572_WPSOffice_Level2"/>
      <w:bookmarkStart w:id="15" w:name="_Toc17796_WPSOffice_Level2"/>
      <w:bookmarkStart w:id="16" w:name="_Toc4833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黑体" w:hAnsi="ˎ̥" w:eastAsia="黑体"/>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达萨乡</w:t>
      </w: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bookmarkStart w:id="19" w:name="_Toc28253_WPSOffice_Level1"/>
      <w:bookmarkStart w:id="20" w:name="_Toc30451_WPSOffice_Level1"/>
      <w:bookmarkStart w:id="21" w:name="_Toc15521_WPSOffice_Level1"/>
      <w:bookmarkStart w:id="22" w:name="_Toc30690_WPSOffice_Level1"/>
      <w:bookmarkStart w:id="23" w:name="_Toc6234_WPSOffice_Level1"/>
      <w:bookmarkStart w:id="24" w:name="_Toc8164_WPSOffice_Level1"/>
      <w:bookmarkStart w:id="25" w:name="_Toc8867_WPSOffice_Level2"/>
      <w:bookmarkStart w:id="26" w:name="_Toc6211_WPSOffice_Level2"/>
      <w:bookmarkStart w:id="27" w:name="_Toc32695_WPSOffice_Level2"/>
      <w:bookmarkStart w:id="28" w:name="_Toc32472_WPSOffice_Level2"/>
      <w:bookmarkStart w:id="29" w:name="_Toc11518_WPSOffice_Level2"/>
      <w:bookmarkStart w:id="30" w:name="_Toc4029_WPSOffice_Level2"/>
    </w:p>
    <w:p>
      <w:pPr>
        <w:spacing w:line="578" w:lineRule="exact"/>
        <w:jc w:val="center"/>
        <w:rPr>
          <w:rFonts w:hint="eastAsia" w:ascii="黑体" w:hAnsi="黑体" w:eastAsia="黑体" w:cs="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14349_WPSOffice_Level2"/>
      <w:bookmarkStart w:id="32" w:name="_Toc25608_WPSOffice_Level2"/>
      <w:bookmarkStart w:id="33" w:name="_Toc23139_WPSOffice_Level2"/>
      <w:bookmarkStart w:id="34" w:name="_Toc26621_WPSOffice_Level2"/>
      <w:bookmarkStart w:id="35" w:name="_Toc30334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13854_WPSOffice_Level2"/>
      <w:bookmarkStart w:id="39" w:name="_Toc14658_WPSOffice_Level2"/>
      <w:bookmarkStart w:id="40" w:name="_Toc5489_WPSOffice_Level2"/>
      <w:bookmarkStart w:id="41" w:name="_Toc17858_WPSOffice_Level2"/>
      <w:bookmarkStart w:id="42" w:name="_Toc17626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4265_WPSOffice_Level2"/>
      <w:bookmarkStart w:id="45" w:name="_Toc7988_WPSOffice_Level2"/>
      <w:bookmarkStart w:id="46" w:name="_Toc21415_WPSOffice_Level2"/>
      <w:bookmarkStart w:id="47" w:name="_Toc23493_WPSOffice_Level2"/>
      <w:bookmarkStart w:id="48" w:name="_Toc2359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2783_WPSOffice_Level2"/>
      <w:bookmarkStart w:id="50" w:name="_Toc7879_WPSOffice_Level2"/>
      <w:bookmarkStart w:id="51" w:name="_Toc25166_WPSOffice_Level2"/>
      <w:bookmarkStart w:id="52" w:name="_Toc2382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2632_WPSOffice_Level2"/>
      <w:bookmarkStart w:id="57" w:name="_Toc25362_WPSOffice_Level2"/>
      <w:bookmarkStart w:id="58" w:name="_Toc17283_WPSOffice_Level2"/>
      <w:bookmarkStart w:id="59" w:name="_Toc17833_WPSOffice_Level2"/>
      <w:bookmarkStart w:id="60" w:name="_Toc837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21310_WPSOffice_Level2"/>
      <w:bookmarkStart w:id="63" w:name="_Toc13345_WPSOffice_Level2"/>
      <w:bookmarkStart w:id="64" w:name="_Toc6020_WPSOffice_Level2"/>
      <w:bookmarkStart w:id="65" w:name="_Toc11799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9377_WPSOffice_Level2"/>
      <w:bookmarkStart w:id="68" w:name="_Toc19961_WPSOffice_Level2"/>
      <w:bookmarkStart w:id="69" w:name="_Toc29886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黑体" w:hAnsi="黑体" w:eastAsia="黑体" w:cs="黑体"/>
          <w:sz w:val="32"/>
          <w:szCs w:val="32"/>
        </w:rPr>
      </w:pPr>
      <w:r>
        <w:rPr>
          <w:rFonts w:hint="eastAsia" w:ascii="仿宋" w:hAnsi="仿宋" w:eastAsia="仿宋" w:cs="仿宋"/>
          <w:w w:val="100"/>
          <w:sz w:val="32"/>
          <w:szCs w:val="32"/>
        </w:rPr>
        <w:t xml:space="preserve">以上报表见附件1。   </w:t>
      </w:r>
    </w:p>
    <w:p>
      <w:pPr>
        <w:spacing w:line="578" w:lineRule="exact"/>
        <w:jc w:val="center"/>
        <w:rPr>
          <w:rFonts w:hint="eastAsia" w:ascii="黑体" w:hAnsi="ˎ̥" w:eastAsia="黑体"/>
          <w:sz w:val="32"/>
          <w:szCs w:val="32"/>
        </w:rPr>
      </w:pPr>
      <w:bookmarkStart w:id="71" w:name="_Toc28629_WPSOffice_Level1"/>
      <w:bookmarkStart w:id="72" w:name="_Toc31264_WPSOffice_Level1"/>
      <w:bookmarkStart w:id="73" w:name="_Toc27590_WPSOffice_Level1"/>
      <w:bookmarkStart w:id="74" w:name="_Toc4402_WPSOffice_Level1"/>
      <w:bookmarkStart w:id="75" w:name="_Toc16686_WPSOffice_Level1"/>
      <w:bookmarkStart w:id="76" w:name="_Toc29683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4,883.46</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4,883.46</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color w:val="FF0000"/>
          <w:sz w:val="32"/>
          <w:szCs w:val="32"/>
          <w:lang w:val="en-US" w:eastAsia="zh-CN"/>
        </w:rPr>
        <w:t>670.82</w:t>
      </w:r>
      <w:r>
        <w:rPr>
          <w:rFonts w:hint="eastAsia" w:ascii="仿宋_GB2312" w:hAnsi="ˎ̥" w:eastAsia="仿宋_GB2312"/>
          <w:sz w:val="32"/>
          <w:szCs w:val="32"/>
        </w:rPr>
        <w:t>万元，增</w:t>
      </w:r>
      <w:r>
        <w:rPr>
          <w:rFonts w:hint="eastAsia" w:ascii="仿宋_GB2312" w:hAnsi="ˎ̥" w:eastAsia="仿宋_GB2312"/>
          <w:color w:val="auto"/>
          <w:sz w:val="32"/>
          <w:szCs w:val="32"/>
        </w:rPr>
        <w:t>长</w:t>
      </w:r>
      <w:r>
        <w:rPr>
          <w:rFonts w:hint="eastAsia" w:ascii="仿宋_GB2312" w:hAnsi="ˎ̥" w:eastAsia="仿宋_GB2312"/>
          <w:color w:val="auto"/>
          <w:sz w:val="32"/>
          <w:szCs w:val="32"/>
          <w:lang w:val="en-US" w:eastAsia="zh-CN"/>
        </w:rPr>
        <w:t>15.92</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预算项目增加强基惠民资金、增加乡村振兴专干及干部职工用氧费</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达仁寺业务用房项目增加、乡政府院内硬化项目增加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4,793.76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所有人员类资金、项目类资金、日常公用经费类资金都属于上级财政拨款</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89.71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村级党组织建设经费、各类强基惠民经费</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92.31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下降50.71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预算执行进度比上年增长</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4,883.46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670.82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15.92</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预算项目增加强基惠民资金、增加乡村振兴专干及干部职工用氧费</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达仁寺业务用房项目增加、乡政府院内硬化项目增加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4,793.76</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4,793.76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4,883.46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3,582.54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73.36</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1,300.92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26.64</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4,793.76</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4,883.46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763.14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18.93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预算项目增加强基惠民资金、增加乡村振兴专干及干部职工用氧费</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达仁寺业务用房项目增加、乡政府院内硬化项目增加</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增加670.82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15.92</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预算项目增加强基惠民资金、增加乡村振兴专干及干部职工用氧费</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达仁寺业务用房项目增加、乡政府院内硬化项目增加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89.71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村级党组织建设经费、各类强基惠民经费</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92.31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50.71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预算执行进度比上年增长</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3694_WPSOffice_Level2"/>
      <w:bookmarkStart w:id="78" w:name="_Toc19665_WPSOffice_Level2"/>
      <w:bookmarkStart w:id="79" w:name="_Toc17398_WPSOffice_Level2"/>
      <w:bookmarkStart w:id="80" w:name="_Toc23005_WPSOffice_Level2"/>
      <w:bookmarkStart w:id="81" w:name="_Toc21737_WPSOffice_Level2"/>
      <w:bookmarkStart w:id="82" w:name="_Toc9989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4,876.49</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663.85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15.76</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预算项目增加强基惠民资金、增加乡村振兴专干及干部职工用氧费</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达仁寺业务用房项目增加、乡政府院内硬化项目增加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11_WPSOffice_Level2"/>
      <w:bookmarkStart w:id="84" w:name="_Toc27767_WPSOffice_Level2"/>
      <w:bookmarkStart w:id="85" w:name="_Toc19075_WPSOffice_Level2"/>
      <w:bookmarkStart w:id="86" w:name="_Toc23864_WPSOffice_Level2"/>
      <w:bookmarkStart w:id="87" w:name="_Toc18793_WPSOffice_Level2"/>
      <w:bookmarkStart w:id="88" w:name="_Toc19535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4,876.49</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3211.30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65.85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378.58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296.66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6.08</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1701_WPSOffice_Level2"/>
      <w:bookmarkStart w:id="90" w:name="_Toc9502_WPSOffice_Level2"/>
      <w:bookmarkStart w:id="91" w:name="_Toc15415_WPSOffice_Level2"/>
      <w:bookmarkStart w:id="92" w:name="_Toc22318_WPSOffice_Level2"/>
      <w:bookmarkStart w:id="93" w:name="_Toc29364_WPSOffice_Level2"/>
      <w:bookmarkStart w:id="94" w:name="_Toc25136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4876.49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4,876.49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人大事务</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val="en-US" w:eastAsia="zh-CN"/>
        </w:rPr>
        <w:t>相等。</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3582.54</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3,383.88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198.66</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6.97</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69.7</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新增</w:t>
      </w:r>
      <w:r>
        <w:rPr>
          <w:rFonts w:hint="eastAsia" w:ascii="仿宋_GB2312" w:hAnsi="ˎ̥" w:eastAsia="仿宋_GB2312"/>
          <w:color w:val="auto"/>
          <w:sz w:val="32"/>
          <w:szCs w:val="32"/>
        </w:rPr>
        <w:t>农村幸福苑经费</w:t>
      </w:r>
      <w:r>
        <w:rPr>
          <w:rFonts w:hint="eastAsia" w:ascii="仿宋_GB2312" w:hAnsi="ˎ̥" w:eastAsia="仿宋_GB2312"/>
          <w:color w:val="auto"/>
          <w:sz w:val="32"/>
          <w:szCs w:val="32"/>
          <w:lang w:val="en-US" w:eastAsia="zh-CN"/>
        </w:rPr>
        <w:t>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6.97</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项目</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3.62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51.93</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人员</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3.35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48.06</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6.97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69.7</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16.45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16.45</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4.09</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19.91</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减少公务接待费项目预算</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16.45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16.45</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16.45</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公用用车油料费、公务用车维修费、公务用车保险费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比预算数减少</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完成预算的93.2</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4.09</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19.91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减少一个寺管会编制，所以减少一辆车用车油费及维修费、保险费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bidi="ar"/>
        </w:rPr>
        <w:t>1300.92</w:t>
      </w:r>
      <w:r>
        <w:rPr>
          <w:rFonts w:hint="eastAsia" w:ascii="仿宋_GB2312" w:eastAsia="仿宋_GB2312"/>
          <w:color w:val="auto"/>
          <w:sz w:val="32"/>
          <w:szCs w:val="32"/>
          <w:lang w:val="en-US" w:eastAsia="zh-CN"/>
        </w:rPr>
        <w:t>万元，占一般公共预算项目支出总额的26.64%</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农村幸福苑经费</w:t>
      </w:r>
      <w:r>
        <w:rPr>
          <w:rFonts w:hint="eastAsia" w:ascii="仿宋_GB2312" w:eastAsia="仿宋_GB2312"/>
          <w:color w:val="auto"/>
          <w:sz w:val="32"/>
          <w:szCs w:val="32"/>
          <w:lang w:bidi="ar"/>
        </w:rPr>
        <w:t>政府性基金预算项目开展绩效自评，共涉及资金</w:t>
      </w:r>
      <w:r>
        <w:rPr>
          <w:rFonts w:hint="eastAsia" w:ascii="仿宋_GB2312" w:eastAsia="仿宋_GB2312"/>
          <w:color w:val="auto"/>
          <w:sz w:val="32"/>
          <w:szCs w:val="32"/>
          <w:lang w:val="en-US" w:eastAsia="zh-CN" w:bidi="ar"/>
        </w:rPr>
        <w:t>6.97</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工资性支出</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152</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4883.56</w:t>
      </w:r>
      <w:r>
        <w:rPr>
          <w:rFonts w:hint="eastAsia" w:ascii="仿宋_GB2312" w:eastAsia="仿宋_GB2312"/>
          <w:color w:val="auto"/>
          <w:sz w:val="32"/>
          <w:szCs w:val="32"/>
          <w:lang w:bidi="ar"/>
        </w:rPr>
        <w:t>万元，</w:t>
      </w:r>
      <w:r>
        <w:rPr>
          <w:rFonts w:hint="eastAsia" w:ascii="仿宋_GB2312" w:eastAsia="仿宋_GB2312"/>
          <w:color w:val="auto"/>
          <w:sz w:val="32"/>
          <w:szCs w:val="32"/>
          <w:lang w:val="en-US" w:eastAsia="zh-CN" w:bidi="ar"/>
        </w:rPr>
        <w:t>其中：</w:t>
      </w:r>
      <w:r>
        <w:rPr>
          <w:rFonts w:hint="eastAsia" w:ascii="仿宋_GB2312" w:eastAsia="仿宋_GB2312"/>
          <w:color w:val="auto"/>
          <w:sz w:val="32"/>
          <w:szCs w:val="32"/>
          <w:lang w:bidi="ar"/>
        </w:rPr>
        <w:t>政府性基金预算支出</w:t>
      </w:r>
      <w:r>
        <w:rPr>
          <w:rFonts w:hint="eastAsia" w:ascii="仿宋_GB2312" w:eastAsia="仿宋_GB2312"/>
          <w:color w:val="auto"/>
          <w:sz w:val="32"/>
          <w:szCs w:val="32"/>
          <w:lang w:val="en-US" w:eastAsia="zh-CN" w:bidi="ar"/>
        </w:rPr>
        <w:t>6.97</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完成部门整体支出绩效评价，涉及一般公共预算支出4883.56万元，政府性基金预算支出6.97万元。</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我部门（</w:t>
      </w:r>
      <w:r>
        <w:rPr>
          <w:rFonts w:hint="eastAsia" w:ascii="仿宋_GB2312" w:eastAsia="仿宋_GB2312"/>
          <w:color w:val="auto"/>
          <w:sz w:val="32"/>
          <w:szCs w:val="32"/>
          <w:lang w:val="en-US" w:eastAsia="zh-CN"/>
        </w:rPr>
        <w:t>达萨乡人民政府</w:t>
      </w:r>
      <w:r>
        <w:rPr>
          <w:rFonts w:hint="eastAsia" w:ascii="仿宋_GB2312" w:eastAsia="仿宋_GB2312"/>
          <w:color w:val="auto"/>
          <w:sz w:val="32"/>
          <w:szCs w:val="32"/>
        </w:rPr>
        <w:t>）在部门决算中反映</w:t>
      </w:r>
      <w:r>
        <w:rPr>
          <w:rFonts w:hint="eastAsia" w:ascii="仿宋_GB2312" w:eastAsia="仿宋_GB2312"/>
          <w:color w:val="auto"/>
          <w:sz w:val="32"/>
          <w:szCs w:val="32"/>
          <w:lang w:val="en-US" w:eastAsia="zh-CN"/>
        </w:rPr>
        <w:t>基本公共卫生服务经费</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乡镇政权建设</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95</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1560.58</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1300.92</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83.36</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val="en-US" w:eastAsia="zh-CN"/>
        </w:rPr>
        <w:t>项目按照既定时间节点顺利完成，实现了预期目标</w:t>
      </w:r>
      <w:r>
        <w:rPr>
          <w:rFonts w:hint="eastAsia" w:ascii="仿宋_GB2312" w:eastAsia="仿宋_GB2312"/>
          <w:color w:val="auto"/>
          <w:sz w:val="32"/>
          <w:szCs w:val="32"/>
        </w:rPr>
        <w:t>；二是</w:t>
      </w:r>
      <w:r>
        <w:rPr>
          <w:rFonts w:hint="eastAsia" w:ascii="仿宋_GB2312" w:eastAsia="仿宋_GB2312"/>
          <w:color w:val="auto"/>
          <w:sz w:val="32"/>
          <w:szCs w:val="32"/>
          <w:lang w:val="en-US" w:eastAsia="zh-CN"/>
        </w:rPr>
        <w:t>项目质量和建设验收通过率100%</w:t>
      </w:r>
      <w:r>
        <w:rPr>
          <w:rFonts w:hint="eastAsia" w:ascii="仿宋_GB2312" w:eastAsia="仿宋_GB2312"/>
          <w:color w:val="auto"/>
          <w:sz w:val="32"/>
          <w:szCs w:val="32"/>
        </w:rPr>
        <w:t>。发现的主要问题及原因：一是</w:t>
      </w:r>
      <w:r>
        <w:rPr>
          <w:rFonts w:hint="eastAsia" w:ascii="仿宋_GB2312" w:eastAsia="仿宋_GB2312"/>
          <w:color w:val="auto"/>
          <w:sz w:val="32"/>
          <w:szCs w:val="32"/>
          <w:lang w:val="en-US" w:eastAsia="zh-CN"/>
        </w:rPr>
        <w:t>各项业务工作和干部生活环境提供了保障</w:t>
      </w:r>
      <w:r>
        <w:rPr>
          <w:rFonts w:hint="eastAsia" w:ascii="仿宋_GB2312" w:eastAsia="仿宋_GB2312"/>
          <w:color w:val="auto"/>
          <w:sz w:val="32"/>
          <w:szCs w:val="32"/>
        </w:rPr>
        <w:t>；二是</w:t>
      </w:r>
      <w:r>
        <w:rPr>
          <w:rFonts w:hint="eastAsia" w:ascii="仿宋_GB2312" w:eastAsia="仿宋_GB2312"/>
          <w:color w:val="auto"/>
          <w:sz w:val="32"/>
          <w:szCs w:val="32"/>
          <w:lang w:val="en-US" w:eastAsia="zh-CN"/>
        </w:rPr>
        <w:t>促进群众生产生活改善，有效提升基础设施建设</w:t>
      </w:r>
      <w:r>
        <w:rPr>
          <w:rFonts w:hint="eastAsia" w:ascii="仿宋_GB2312" w:eastAsia="仿宋_GB2312"/>
          <w:color w:val="auto"/>
          <w:sz w:val="32"/>
          <w:szCs w:val="32"/>
        </w:rPr>
        <w:t>。下一步改进措施：一是</w:t>
      </w:r>
      <w:r>
        <w:rPr>
          <w:rFonts w:hint="eastAsia" w:ascii="仿宋_GB2312" w:eastAsia="仿宋_GB2312"/>
          <w:color w:val="auto"/>
          <w:sz w:val="32"/>
          <w:szCs w:val="32"/>
          <w:lang w:val="en-US" w:eastAsia="zh-CN"/>
        </w:rPr>
        <w:t>继续提升基础设施建设</w:t>
      </w:r>
      <w:r>
        <w:rPr>
          <w:rFonts w:hint="eastAsia" w:ascii="仿宋_GB2312" w:eastAsia="仿宋_GB2312"/>
          <w:color w:val="auto"/>
          <w:sz w:val="32"/>
          <w:szCs w:val="32"/>
        </w:rPr>
        <w:t>；二是</w:t>
      </w:r>
      <w:r>
        <w:rPr>
          <w:rFonts w:hint="eastAsia" w:ascii="仿宋_GB2312" w:eastAsia="仿宋_GB2312"/>
          <w:color w:val="auto"/>
          <w:sz w:val="32"/>
          <w:szCs w:val="32"/>
          <w:lang w:val="en-US" w:eastAsia="zh-CN"/>
        </w:rPr>
        <w:t>进一步优化工作水平，提高工作质量，降低成本</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此项本单位不涉及</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此项本单位不涉及</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8325_WPSOffice_Level2"/>
      <w:bookmarkStart w:id="96" w:name="_Toc23598_WPSOffice_Level2"/>
      <w:bookmarkStart w:id="97" w:name="_Toc15262_WPSOffice_Level2"/>
      <w:bookmarkStart w:id="98" w:name="_Toc5978_WPSOffice_Level2"/>
      <w:bookmarkStart w:id="99" w:name="_Toc15565_WPSOffice_Level2"/>
      <w:bookmarkStart w:id="100" w:name="_Toc32639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达萨乡人民政府</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199.47</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72.67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增长57.31%。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干部职工人头经费标准提高。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25333_WPSOffice_Level2"/>
      <w:bookmarkStart w:id="102" w:name="_Toc13084_WPSOffice_Level2"/>
      <w:bookmarkStart w:id="103" w:name="_Toc30383_WPSOffice_Level2"/>
      <w:bookmarkStart w:id="104" w:name="_Toc23966_WPSOffice_Level2"/>
      <w:bookmarkStart w:id="105" w:name="_Toc3131_WPSOffice_Level2"/>
      <w:bookmarkStart w:id="106" w:name="_Toc32689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bookmarkStart w:id="119" w:name="_GoBack"/>
      <w:bookmarkEnd w:id="119"/>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此项本单位不涉及</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0902_WPSOffice_Level2"/>
      <w:bookmarkStart w:id="108" w:name="_Toc6016_WPSOffice_Level2"/>
      <w:bookmarkStart w:id="109" w:name="_Toc15129_WPSOffice_Level2"/>
      <w:bookmarkStart w:id="110" w:name="_Toc19989_WPSOffice_Level2"/>
      <w:bookmarkStart w:id="111" w:name="_Toc527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8877.03</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业务用车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15425_WPSOffice_Level1"/>
      <w:bookmarkStart w:id="115" w:name="_Toc4398_WPSOffice_Level1"/>
      <w:bookmarkStart w:id="116" w:name="_Toc11039_WPSOffice_Level1"/>
      <w:bookmarkStart w:id="117" w:name="_Toc8874_WPSOffice_Level1"/>
      <w:bookmarkStart w:id="118"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CFC0"/>
    <w:multiLevelType w:val="singleLevel"/>
    <w:tmpl w:val="923BCFC0"/>
    <w:lvl w:ilvl="0" w:tentative="0">
      <w:start w:val="2"/>
      <w:numFmt w:val="chineseCounting"/>
      <w:suff w:val="nothing"/>
      <w:lvlText w:val="（%1）"/>
      <w:lvlJc w:val="left"/>
      <w:rPr>
        <w:rFonts w:hint="eastAsia"/>
      </w:rPr>
    </w:lvl>
  </w:abstractNum>
  <w:abstractNum w:abstractNumId="1">
    <w:nsid w:val="AB7D6C94"/>
    <w:multiLevelType w:val="singleLevel"/>
    <w:tmpl w:val="AB7D6C94"/>
    <w:lvl w:ilvl="0" w:tentative="0">
      <w:start w:val="1"/>
      <w:numFmt w:val="chineseCounting"/>
      <w:suff w:val="nothing"/>
      <w:lvlText w:val="%1、"/>
      <w:lvlJc w:val="left"/>
      <w:rPr>
        <w:rFonts w:hint="eastAsia"/>
      </w:rPr>
    </w:lvl>
  </w:abstractNum>
  <w:abstractNum w:abstractNumId="2">
    <w:nsid w:val="AFFC2DCC"/>
    <w:multiLevelType w:val="singleLevel"/>
    <w:tmpl w:val="AFFC2DCC"/>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NzA4OTVlMTRlNjE2MzRmMmM5NWJjMmI1OWFmYjYifQ=="/>
  </w:docVars>
  <w:rsids>
    <w:rsidRoot w:val="A7F73C99"/>
    <w:rsid w:val="00064A91"/>
    <w:rsid w:val="000718C4"/>
    <w:rsid w:val="000779B0"/>
    <w:rsid w:val="001B008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B1EB4"/>
    <w:rsid w:val="00CD6E49"/>
    <w:rsid w:val="00CD794A"/>
    <w:rsid w:val="00DB612B"/>
    <w:rsid w:val="00DC2A37"/>
    <w:rsid w:val="00E07782"/>
    <w:rsid w:val="00E70EA3"/>
    <w:rsid w:val="00F0336A"/>
    <w:rsid w:val="00F06DA9"/>
    <w:rsid w:val="00F103D6"/>
    <w:rsid w:val="00F25220"/>
    <w:rsid w:val="00F72CA9"/>
    <w:rsid w:val="00FA2884"/>
    <w:rsid w:val="00FC03DC"/>
    <w:rsid w:val="00FC5708"/>
    <w:rsid w:val="01EC0334"/>
    <w:rsid w:val="01FF0067"/>
    <w:rsid w:val="02A93B2F"/>
    <w:rsid w:val="02ED6112"/>
    <w:rsid w:val="035D0996"/>
    <w:rsid w:val="03802AE2"/>
    <w:rsid w:val="03822CFE"/>
    <w:rsid w:val="03EF5EB9"/>
    <w:rsid w:val="05335566"/>
    <w:rsid w:val="06110369"/>
    <w:rsid w:val="06367DD0"/>
    <w:rsid w:val="068025B4"/>
    <w:rsid w:val="06AE3E0A"/>
    <w:rsid w:val="08167EB9"/>
    <w:rsid w:val="09201287"/>
    <w:rsid w:val="0A8729A8"/>
    <w:rsid w:val="0BAD643E"/>
    <w:rsid w:val="0C0A3890"/>
    <w:rsid w:val="0C474AE5"/>
    <w:rsid w:val="0C605BA6"/>
    <w:rsid w:val="0D3C38D7"/>
    <w:rsid w:val="0DFC40C1"/>
    <w:rsid w:val="0E364E11"/>
    <w:rsid w:val="0EB977F0"/>
    <w:rsid w:val="0F072309"/>
    <w:rsid w:val="0F423341"/>
    <w:rsid w:val="0FC80124"/>
    <w:rsid w:val="0FF7412C"/>
    <w:rsid w:val="108A1444"/>
    <w:rsid w:val="110E3E23"/>
    <w:rsid w:val="11BD75F7"/>
    <w:rsid w:val="11D84431"/>
    <w:rsid w:val="1230601B"/>
    <w:rsid w:val="130C4392"/>
    <w:rsid w:val="1331204B"/>
    <w:rsid w:val="135D2E40"/>
    <w:rsid w:val="136F98C7"/>
    <w:rsid w:val="144731A8"/>
    <w:rsid w:val="14F52C04"/>
    <w:rsid w:val="1585667E"/>
    <w:rsid w:val="15B605E5"/>
    <w:rsid w:val="15C42D02"/>
    <w:rsid w:val="15FD7FC2"/>
    <w:rsid w:val="16AA79CC"/>
    <w:rsid w:val="16BF796D"/>
    <w:rsid w:val="17427E68"/>
    <w:rsid w:val="1743234C"/>
    <w:rsid w:val="1755065F"/>
    <w:rsid w:val="17824C23"/>
    <w:rsid w:val="17B44FF8"/>
    <w:rsid w:val="18644328"/>
    <w:rsid w:val="188F7200"/>
    <w:rsid w:val="19362169"/>
    <w:rsid w:val="19477772"/>
    <w:rsid w:val="19704F4F"/>
    <w:rsid w:val="19B7492C"/>
    <w:rsid w:val="1AFC29C9"/>
    <w:rsid w:val="1B09565B"/>
    <w:rsid w:val="1C900FFC"/>
    <w:rsid w:val="1C951F33"/>
    <w:rsid w:val="1CA52F2E"/>
    <w:rsid w:val="1DFE370B"/>
    <w:rsid w:val="1E3630B9"/>
    <w:rsid w:val="1E894AE9"/>
    <w:rsid w:val="1EDC730E"/>
    <w:rsid w:val="1FDC50EC"/>
    <w:rsid w:val="20270A5D"/>
    <w:rsid w:val="227E692E"/>
    <w:rsid w:val="22A572F2"/>
    <w:rsid w:val="23333275"/>
    <w:rsid w:val="2342170A"/>
    <w:rsid w:val="23F24EDE"/>
    <w:rsid w:val="26797B39"/>
    <w:rsid w:val="26EEC2B5"/>
    <w:rsid w:val="27B506FD"/>
    <w:rsid w:val="289F15C5"/>
    <w:rsid w:val="29472309"/>
    <w:rsid w:val="297D5CED"/>
    <w:rsid w:val="29EE6148"/>
    <w:rsid w:val="2B406E77"/>
    <w:rsid w:val="2B667F60"/>
    <w:rsid w:val="2C2A0C43"/>
    <w:rsid w:val="2C646B95"/>
    <w:rsid w:val="2D1E73A5"/>
    <w:rsid w:val="2D947006"/>
    <w:rsid w:val="2EB21E3A"/>
    <w:rsid w:val="2FAF5689"/>
    <w:rsid w:val="322A7F39"/>
    <w:rsid w:val="32717154"/>
    <w:rsid w:val="32A61CB5"/>
    <w:rsid w:val="333170A5"/>
    <w:rsid w:val="3381627F"/>
    <w:rsid w:val="33A87367"/>
    <w:rsid w:val="34164C19"/>
    <w:rsid w:val="34B63260"/>
    <w:rsid w:val="34B955A4"/>
    <w:rsid w:val="35531555"/>
    <w:rsid w:val="35D074E3"/>
    <w:rsid w:val="36E36908"/>
    <w:rsid w:val="376D0FF4"/>
    <w:rsid w:val="37FDA7E2"/>
    <w:rsid w:val="380A4A95"/>
    <w:rsid w:val="383E029A"/>
    <w:rsid w:val="385555E4"/>
    <w:rsid w:val="38685317"/>
    <w:rsid w:val="3A0D261A"/>
    <w:rsid w:val="3A292D2C"/>
    <w:rsid w:val="3A314D88"/>
    <w:rsid w:val="3A746883"/>
    <w:rsid w:val="3AED5FA8"/>
    <w:rsid w:val="3B53405D"/>
    <w:rsid w:val="3BF70E8C"/>
    <w:rsid w:val="3CA15DE9"/>
    <w:rsid w:val="3D791D75"/>
    <w:rsid w:val="3E3C1720"/>
    <w:rsid w:val="3E9230EE"/>
    <w:rsid w:val="3EC040FF"/>
    <w:rsid w:val="3F32667F"/>
    <w:rsid w:val="3FC75019"/>
    <w:rsid w:val="3FE61EE5"/>
    <w:rsid w:val="40175FA1"/>
    <w:rsid w:val="406508EE"/>
    <w:rsid w:val="408D6263"/>
    <w:rsid w:val="40C41559"/>
    <w:rsid w:val="41B40CEE"/>
    <w:rsid w:val="42154762"/>
    <w:rsid w:val="421F738E"/>
    <w:rsid w:val="42975177"/>
    <w:rsid w:val="439416B6"/>
    <w:rsid w:val="43FF508A"/>
    <w:rsid w:val="45101210"/>
    <w:rsid w:val="46342CDD"/>
    <w:rsid w:val="46584C1D"/>
    <w:rsid w:val="46776C33"/>
    <w:rsid w:val="469D2F78"/>
    <w:rsid w:val="46F661E4"/>
    <w:rsid w:val="47084895"/>
    <w:rsid w:val="48317291"/>
    <w:rsid w:val="48576646"/>
    <w:rsid w:val="485F7024"/>
    <w:rsid w:val="48934632"/>
    <w:rsid w:val="48E70666"/>
    <w:rsid w:val="49757894"/>
    <w:rsid w:val="49E62540"/>
    <w:rsid w:val="4B951B65"/>
    <w:rsid w:val="4C080E93"/>
    <w:rsid w:val="4C6877E5"/>
    <w:rsid w:val="4C800A2A"/>
    <w:rsid w:val="4D60256C"/>
    <w:rsid w:val="4D6A468D"/>
    <w:rsid w:val="4E3C6BD2"/>
    <w:rsid w:val="4EA86137"/>
    <w:rsid w:val="4F493C9D"/>
    <w:rsid w:val="4F5B577E"/>
    <w:rsid w:val="4F766114"/>
    <w:rsid w:val="4FF9121F"/>
    <w:rsid w:val="50632B3C"/>
    <w:rsid w:val="50CC6933"/>
    <w:rsid w:val="50EA41B8"/>
    <w:rsid w:val="51275918"/>
    <w:rsid w:val="51C27D36"/>
    <w:rsid w:val="52AC045E"/>
    <w:rsid w:val="54CA13DC"/>
    <w:rsid w:val="54ED0C26"/>
    <w:rsid w:val="54F621D1"/>
    <w:rsid w:val="55E07133"/>
    <w:rsid w:val="56CA7FD0"/>
    <w:rsid w:val="56D7393C"/>
    <w:rsid w:val="56E322E1"/>
    <w:rsid w:val="56ED2A14"/>
    <w:rsid w:val="57FA38D1"/>
    <w:rsid w:val="57FD73D2"/>
    <w:rsid w:val="583B7EFB"/>
    <w:rsid w:val="58B33F35"/>
    <w:rsid w:val="594A6647"/>
    <w:rsid w:val="59684D1F"/>
    <w:rsid w:val="59EB778D"/>
    <w:rsid w:val="5BCC3C8B"/>
    <w:rsid w:val="5D0905C7"/>
    <w:rsid w:val="5EDD7F5D"/>
    <w:rsid w:val="5F2A32FA"/>
    <w:rsid w:val="5F7D3333"/>
    <w:rsid w:val="60716BAF"/>
    <w:rsid w:val="60820DBC"/>
    <w:rsid w:val="61385890"/>
    <w:rsid w:val="61442516"/>
    <w:rsid w:val="61AF3E33"/>
    <w:rsid w:val="62E0626E"/>
    <w:rsid w:val="6361115D"/>
    <w:rsid w:val="64540CC2"/>
    <w:rsid w:val="65864EAB"/>
    <w:rsid w:val="668A09CB"/>
    <w:rsid w:val="674D35F1"/>
    <w:rsid w:val="678B49FB"/>
    <w:rsid w:val="67C972D1"/>
    <w:rsid w:val="683706DE"/>
    <w:rsid w:val="687436E1"/>
    <w:rsid w:val="697A079B"/>
    <w:rsid w:val="69E76359"/>
    <w:rsid w:val="6B5415A7"/>
    <w:rsid w:val="6BD10E4A"/>
    <w:rsid w:val="6C3D028D"/>
    <w:rsid w:val="6C523D39"/>
    <w:rsid w:val="6CD81D64"/>
    <w:rsid w:val="6CEE3336"/>
    <w:rsid w:val="6D940381"/>
    <w:rsid w:val="6DA45C50"/>
    <w:rsid w:val="6DC73C57"/>
    <w:rsid w:val="6E9A7825"/>
    <w:rsid w:val="6F670F9B"/>
    <w:rsid w:val="6FEA24DA"/>
    <w:rsid w:val="711E68DF"/>
    <w:rsid w:val="719D37E1"/>
    <w:rsid w:val="72A921D9"/>
    <w:rsid w:val="73353A6C"/>
    <w:rsid w:val="733A5527"/>
    <w:rsid w:val="736B3932"/>
    <w:rsid w:val="737450E0"/>
    <w:rsid w:val="74054476"/>
    <w:rsid w:val="742F38C4"/>
    <w:rsid w:val="74AB66DC"/>
    <w:rsid w:val="74C4154C"/>
    <w:rsid w:val="75956FFF"/>
    <w:rsid w:val="760F4A49"/>
    <w:rsid w:val="77AA2D01"/>
    <w:rsid w:val="77F34765"/>
    <w:rsid w:val="78C338C8"/>
    <w:rsid w:val="796706F8"/>
    <w:rsid w:val="798219D5"/>
    <w:rsid w:val="798D4602"/>
    <w:rsid w:val="79BD47BC"/>
    <w:rsid w:val="79E77A45"/>
    <w:rsid w:val="7B5B24DE"/>
    <w:rsid w:val="7BD04C7A"/>
    <w:rsid w:val="7CDE1DBD"/>
    <w:rsid w:val="7D034BDB"/>
    <w:rsid w:val="7D1358E9"/>
    <w:rsid w:val="7D494CE4"/>
    <w:rsid w:val="7D782ED3"/>
    <w:rsid w:val="7D8B70AB"/>
    <w:rsid w:val="7D943A85"/>
    <w:rsid w:val="7DAA32A9"/>
    <w:rsid w:val="7DB0448C"/>
    <w:rsid w:val="7DCE343B"/>
    <w:rsid w:val="7E5F9AA4"/>
    <w:rsid w:val="7F0C421B"/>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6388</Words>
  <Characters>6965</Characters>
  <Lines>67</Lines>
  <Paragraphs>18</Paragraphs>
  <TotalTime>23</TotalTime>
  <ScaleCrop>false</ScaleCrop>
  <LinksUpToDate>false</LinksUpToDate>
  <CharactersWithSpaces>7027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2025-10-10T03:55:11Z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C54DD4C96BFE419E9CB2A60607633885_13</vt:lpwstr>
  </property>
  <property fmtid="{D5CDD505-2E9C-101B-9397-08002B2CF9AE}" pid="4" name="KSOTemplateDocerSaveRecord">
    <vt:lpwstr>eyJoZGlkIjoiY2VlZThlZDk5ZTQ4MTFjNGY3MjIxNTdiOWMzZmQwMWMiLCJ1c2VySWQiOiIyMzQ5MTc1OTYifQ==</vt:lpwstr>
  </property>
</Properties>
</file>