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色尼区藏医院2024年度部门决算公开报告</w:t>
      </w:r>
    </w:p>
    <w:p>
      <w:pPr>
        <w:spacing w:line="578" w:lineRule="exact"/>
        <w:jc w:val="both"/>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32433_WPSOffice_Level1"/>
      <w:bookmarkStart w:id="4" w:name="_Toc10049_WPSOffice_Level1"/>
      <w:bookmarkStart w:id="5" w:name="_Toc1704_WPSOffice_Level1"/>
      <w:bookmarkStart w:id="6" w:name="_Toc23465_WPSOffice_Level1"/>
      <w:bookmarkStart w:id="7" w:name="_Toc10720_WPSOffice_Level1"/>
      <w:bookmarkStart w:id="8" w:name="_Toc24238_WPSOffice_Level2"/>
      <w:bookmarkStart w:id="9" w:name="_Toc20274_WPSOffice_Level2"/>
      <w:bookmarkStart w:id="10" w:name="_Toc32622_WPSOffice_Level2"/>
      <w:bookmarkStart w:id="11" w:name="_Toc14159_WPSOffice_Level2"/>
      <w:bookmarkStart w:id="12" w:name="_Toc26580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napToGrid w:val="0"/>
        <w:spacing w:line="520" w:lineRule="exact"/>
        <w:ind w:firstLine="640" w:firstLineChars="200"/>
        <w:rPr>
          <w:rFonts w:hint="eastAsia" w:ascii="仿宋_GB2312" w:hAnsi="仿宋" w:eastAsia="仿宋_GB2312"/>
          <w:sz w:val="32"/>
          <w:szCs w:val="32"/>
          <w:lang w:eastAsia="zh-CN"/>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r>
        <w:rPr>
          <w:rFonts w:hint="eastAsia" w:ascii="仿宋_GB2312" w:hAnsi="仿宋" w:eastAsia="仿宋_GB2312"/>
          <w:sz w:val="32"/>
          <w:szCs w:val="32"/>
        </w:rPr>
        <w:t>主要职能</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(一)贯彻执行党和国家有关的民族医药等综合卫生技术服务方面的路线，方针，政策执行各项医疗卫生法律法规，统筹等。</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（二）承担各族人民群众民族医药，中医药，中西结合，疾病预防，急诊急救，康复等医疗保健服务工作。</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（三）确保各族人民对中医民族的的各种健康需求，全心全意为各族群众服务。</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(四）贯彻落实国家基本药物制度和药品集中采购工作，执行医用耗材集中采购工作，负责医院内部的药品和医疗器械管理工作。</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（五）承担意外灾害事故，疫情等突发公共事件的医疗急救和预防，保健和康复医疗服务工作，开展各种医疗保健卫生知识宣传普及。</w:t>
      </w:r>
    </w:p>
    <w:p>
      <w:pPr>
        <w:snapToGrid w:val="0"/>
        <w:spacing w:line="52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（六）做好医疗保险的各项工作，落实公立医院惠民政策。</w:t>
      </w:r>
    </w:p>
    <w:p>
      <w:pPr>
        <w:spacing w:line="578" w:lineRule="exact"/>
        <w:ind w:firstLine="640" w:firstLineChars="200"/>
        <w:rPr>
          <w:rFonts w:hint="eastAsia" w:ascii="黑体" w:hAnsi="黑体" w:eastAsia="黑体" w:cs="黑体"/>
          <w:sz w:val="32"/>
          <w:szCs w:val="32"/>
        </w:rPr>
      </w:pPr>
    </w:p>
    <w:p>
      <w:pPr>
        <w:numPr>
          <w:ilvl w:val="0"/>
          <w:numId w:val="2"/>
        </w:numPr>
        <w:snapToGrid w:val="0"/>
        <w:spacing w:line="520" w:lineRule="exact"/>
        <w:ind w:firstLine="640" w:firstLineChars="200"/>
        <w:rPr>
          <w:rFonts w:hint="default" w:ascii="仿宋_GB2312" w:hAnsi="仿宋" w:eastAsia="仿宋_GB2312"/>
          <w:color w:val="auto"/>
          <w:sz w:val="32"/>
          <w:szCs w:val="32"/>
          <w:lang w:val="en-US" w:eastAsia="zh-CN"/>
        </w:rPr>
      </w:pPr>
      <w:bookmarkStart w:id="14" w:name="_Toc17796_WPSOffice_Level2"/>
      <w:bookmarkStart w:id="15" w:name="_Toc24059_WPSOffice_Level2"/>
      <w:bookmarkStart w:id="16" w:name="_Toc6572_WPSOffice_Level2"/>
      <w:bookmarkStart w:id="17" w:name="_Toc4833_WPSOffice_Level2"/>
      <w:bookmarkStart w:id="18" w:name="_Toc24474_WPSOffice_Level2"/>
      <w:r>
        <w:rPr>
          <w:rFonts w:hint="eastAsia" w:ascii="黑体" w:hAnsi="黑体" w:eastAsia="黑体" w:cs="黑体"/>
          <w:sz w:val="32"/>
          <w:szCs w:val="32"/>
        </w:rPr>
        <w:t>机构设置</w:t>
      </w:r>
      <w:bookmarkEnd w:id="14"/>
      <w:bookmarkEnd w:id="15"/>
      <w:bookmarkEnd w:id="16"/>
      <w:bookmarkEnd w:id="17"/>
      <w:bookmarkEnd w:id="18"/>
    </w:p>
    <w:p>
      <w:pPr>
        <w:numPr>
          <w:ilvl w:val="0"/>
          <w:numId w:val="0"/>
        </w:numPr>
        <w:snapToGrid w:val="0"/>
        <w:spacing w:line="520" w:lineRule="exact"/>
        <w:ind w:firstLine="640" w:firstLineChars="200"/>
        <w:rPr>
          <w:rFonts w:hint="default" w:ascii="仿宋_GB2312" w:hAnsi="仿宋" w:eastAsia="仿宋_GB2312"/>
          <w:color w:val="auto"/>
          <w:sz w:val="32"/>
          <w:szCs w:val="32"/>
          <w:lang w:val="en-US" w:eastAsia="zh-CN"/>
        </w:rPr>
      </w:pPr>
      <w:r>
        <w:rPr>
          <w:rFonts w:hint="eastAsia" w:ascii="仿宋_GB2312" w:hAnsi="ˎ̥" w:eastAsia="仿宋_GB2312"/>
          <w:sz w:val="32"/>
          <w:szCs w:val="32"/>
          <w:lang w:eastAsia="zh-CN"/>
        </w:rPr>
        <w:t>色尼区藏医院</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年度部门决算编制范围的单</w:t>
      </w:r>
      <w:r>
        <w:rPr>
          <w:rFonts w:hint="eastAsia" w:ascii="仿宋_GB2312" w:hAnsi="仿宋" w:eastAsia="仿宋_GB2312"/>
          <w:color w:val="auto"/>
          <w:sz w:val="32"/>
          <w:szCs w:val="32"/>
          <w:lang w:eastAsia="zh-CN"/>
        </w:rPr>
        <w:t>色尼区藏医院人员总数为</w:t>
      </w:r>
      <w:r>
        <w:rPr>
          <w:rFonts w:hint="eastAsia" w:ascii="仿宋_GB2312" w:hAnsi="仿宋" w:eastAsia="仿宋_GB2312"/>
          <w:color w:val="auto"/>
          <w:sz w:val="32"/>
          <w:szCs w:val="32"/>
          <w:lang w:val="en-US" w:eastAsia="zh-CN"/>
        </w:rPr>
        <w:t>42人，其中事业编制人员29人，公益性人员1人，聘用人员9人，借调人员3人。</w:t>
      </w:r>
    </w:p>
    <w:p>
      <w:pPr>
        <w:snapToGrid w:val="0"/>
        <w:spacing w:line="520" w:lineRule="exact"/>
        <w:ind w:firstLine="320" w:firstLineChars="100"/>
        <w:rPr>
          <w:rFonts w:hint="eastAsia" w:ascii="仿宋_GB2312" w:hAnsi="仿宋" w:eastAsia="仿宋_GB2312"/>
          <w:color w:val="auto"/>
          <w:sz w:val="32"/>
          <w:szCs w:val="32"/>
          <w:lang w:eastAsia="zh-CN"/>
        </w:rPr>
      </w:pPr>
      <w:r>
        <w:rPr>
          <w:rFonts w:hint="eastAsia" w:ascii="方正楷体_GBK" w:hAnsi="方正楷体_GBK" w:eastAsia="方正楷体_GBK" w:cs="方正楷体_GBK"/>
          <w:sz w:val="32"/>
          <w:szCs w:val="32"/>
        </w:rPr>
        <w:t>（一）</w:t>
      </w:r>
      <w:r>
        <w:rPr>
          <w:rFonts w:hint="eastAsia" w:ascii="仿宋_GB2312" w:hAnsi="仿宋" w:eastAsia="仿宋_GB2312"/>
          <w:color w:val="auto"/>
          <w:sz w:val="32"/>
          <w:szCs w:val="32"/>
          <w:lang w:eastAsia="zh-CN"/>
        </w:rPr>
        <w:t>色尼区藏医院位于那曲市色尼区通站路赛马场斜对面，色尼区人民医院门诊楼三楼。属于全额拨款单位。</w:t>
      </w:r>
    </w:p>
    <w:p>
      <w:pPr>
        <w:snapToGrid w:val="0"/>
        <w:spacing w:line="520" w:lineRule="exact"/>
        <w:ind w:firstLine="320" w:firstLineChars="100"/>
        <w:rPr>
          <w:rFonts w:hint="default" w:ascii="仿宋_GB2312" w:hAnsi="仿宋" w:eastAsia="仿宋_GB2312"/>
          <w:color w:val="auto"/>
          <w:sz w:val="32"/>
          <w:szCs w:val="32"/>
          <w:lang w:val="en-US" w:eastAsia="zh-CN"/>
        </w:rPr>
      </w:pPr>
      <w:r>
        <w:rPr>
          <w:rFonts w:hint="eastAsia" w:ascii="方正楷体_GBK" w:hAnsi="方正楷体_GBK" w:eastAsia="方正楷体_GBK" w:cs="方正楷体_GBK"/>
          <w:sz w:val="32"/>
          <w:szCs w:val="32"/>
        </w:rPr>
        <w:t>（二）</w:t>
      </w:r>
      <w:r>
        <w:rPr>
          <w:rFonts w:hint="eastAsia" w:ascii="仿宋_GB2312" w:hAnsi="仿宋" w:eastAsia="仿宋_GB2312"/>
          <w:color w:val="auto"/>
          <w:sz w:val="32"/>
          <w:szCs w:val="32"/>
          <w:lang w:eastAsia="zh-CN"/>
        </w:rPr>
        <w:t>色尼区藏医院机关本级内设结构：门诊科，外治科，检验科，放射科，住院科，医保科，院感科，医务科，行政办公室，财务科等共</w:t>
      </w:r>
      <w:r>
        <w:rPr>
          <w:rFonts w:hint="eastAsia" w:ascii="仿宋_GB2312" w:hAnsi="仿宋" w:eastAsia="仿宋_GB2312"/>
          <w:color w:val="auto"/>
          <w:sz w:val="32"/>
          <w:szCs w:val="32"/>
          <w:lang w:val="en-US" w:eastAsia="zh-CN"/>
        </w:rPr>
        <w:t>10个职能科室。</w:t>
      </w:r>
    </w:p>
    <w:p>
      <w:pPr>
        <w:spacing w:line="578" w:lineRule="exact"/>
        <w:ind w:firstLine="640" w:firstLineChars="200"/>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19" w:name="_Toc6234_WPSOffice_Level1"/>
      <w:bookmarkStart w:id="20" w:name="_Toc28253_WPSOffice_Level1"/>
      <w:bookmarkStart w:id="21" w:name="_Toc15521_WPSOffice_Level1"/>
      <w:bookmarkStart w:id="22" w:name="_Toc30451_WPSOffice_Level1"/>
      <w:bookmarkStart w:id="23" w:name="_Toc30690_WPSOffice_Level1"/>
      <w:bookmarkStart w:id="24" w:name="_Toc8164_WPSOffice_Level1"/>
      <w:bookmarkStart w:id="25" w:name="_Toc8867_WPSOffice_Level2"/>
      <w:bookmarkStart w:id="26" w:name="_Toc11518_WPSOffice_Level2"/>
      <w:bookmarkStart w:id="27" w:name="_Toc32472_WPSOffice_Level2"/>
      <w:bookmarkStart w:id="28" w:name="_Toc32695_WPSOffice_Level2"/>
      <w:bookmarkStart w:id="29" w:name="_Toc4029_WPSOffice_Level2"/>
      <w:bookmarkStart w:id="30" w:name="_Toc6211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14349_WPSOffice_Level2"/>
      <w:bookmarkStart w:id="32" w:name="_Toc23139_WPSOffice_Level2"/>
      <w:bookmarkStart w:id="33" w:name="_Toc30334_WPSOffice_Level2"/>
      <w:bookmarkStart w:id="34" w:name="_Toc25608_WPSOffice_Level2"/>
      <w:bookmarkStart w:id="35" w:name="_Toc28622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14658_WPSOffice_Level2"/>
      <w:bookmarkStart w:id="39" w:name="_Toc17858_WPSOffice_Level2"/>
      <w:bookmarkStart w:id="40" w:name="_Toc5489_WPSOffice_Level2"/>
      <w:bookmarkStart w:id="41" w:name="_Toc17626_WPSOffice_Level2"/>
      <w:bookmarkStart w:id="42"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1415_WPSOffice_Level2"/>
      <w:bookmarkStart w:id="45" w:name="_Toc7988_WPSOffice_Level2"/>
      <w:bookmarkStart w:id="46" w:name="_Toc23493_WPSOffice_Level2"/>
      <w:bookmarkStart w:id="47" w:name="_Toc4265_WPSOffice_Level2"/>
      <w:bookmarkStart w:id="48" w:name="_Toc2359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5166_WPSOffice_Level2"/>
      <w:bookmarkStart w:id="50" w:name="_Toc23829_WPSOffice_Level2"/>
      <w:bookmarkStart w:id="51" w:name="_Toc7879_WPSOffice_Level2"/>
      <w:bookmarkStart w:id="52" w:name="_Toc22783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17283_WPSOffice_Level2"/>
      <w:bookmarkStart w:id="57" w:name="_Toc8373_WPSOffice_Level2"/>
      <w:bookmarkStart w:id="58" w:name="_Toc25362_WPSOffice_Level2"/>
      <w:bookmarkStart w:id="59" w:name="_Toc2632_WPSOffice_Level2"/>
      <w:bookmarkStart w:id="60" w:name="_Toc1783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1799_WPSOffice_Level2"/>
      <w:bookmarkStart w:id="62" w:name="_Toc13345_WPSOffice_Level2"/>
      <w:bookmarkStart w:id="63" w:name="_Toc6020_WPSOffice_Level2"/>
      <w:bookmarkStart w:id="64" w:name="_Toc21310_WPSOffice_Level2"/>
      <w:bookmarkStart w:id="65" w:name="_Toc1533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9377_WPSOffice_Level2"/>
      <w:bookmarkStart w:id="69" w:name="_Toc1820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8629_WPSOffice_Level1"/>
      <w:bookmarkStart w:id="72" w:name="_Toc31264_WPSOffice_Level1"/>
      <w:bookmarkStart w:id="73" w:name="_Toc4402_WPSOffice_Level1"/>
      <w:bookmarkStart w:id="74" w:name="_Toc27590_WPSOffice_Level1"/>
      <w:bookmarkStart w:id="75" w:name="_Toc29683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spacing w:line="578" w:lineRule="exact"/>
        <w:ind w:firstLine="640" w:firstLineChars="200"/>
        <w:rPr>
          <w:rFonts w:hint="default" w:ascii="仿宋_GB2312" w:hAnsi="ˎ̥" w:eastAsia="仿宋_GB2312"/>
          <w:color w:val="000000"/>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118.51</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24.95</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随着医院的业务不断扩展和发展，员工的</w:t>
      </w:r>
      <w:r>
        <w:rPr>
          <w:rFonts w:hint="eastAsia" w:ascii="仿宋_GB2312" w:hAnsi="ˎ̥" w:eastAsia="仿宋_GB2312"/>
          <w:sz w:val="32"/>
          <w:szCs w:val="32"/>
          <w:lang w:eastAsia="zh-CN"/>
        </w:rPr>
        <w:t>工作量也随之增加，导致工作效率下降，于是人员增加能够提升工作效率，也能更好的提高服务质量，所以我院</w:t>
      </w:r>
      <w:r>
        <w:rPr>
          <w:rFonts w:hint="eastAsia" w:ascii="仿宋_GB2312" w:hAnsi="ˎ̥" w:eastAsia="仿宋_GB2312"/>
          <w:color w:val="000000"/>
          <w:sz w:val="32"/>
          <w:szCs w:val="32"/>
          <w:lang w:val="en-US" w:eastAsia="zh-CN"/>
        </w:rPr>
        <w:t>2024年新增8名职工，相对应职工的工资及五险一金等支出有所增加。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w:t>
      </w:r>
    </w:p>
    <w:p>
      <w:pPr>
        <w:spacing w:line="578" w:lineRule="exact"/>
        <w:ind w:firstLine="320" w:firstLineChars="1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w:t>
      </w:r>
    </w:p>
    <w:p>
      <w:pPr>
        <w:spacing w:line="578" w:lineRule="exact"/>
        <w:ind w:firstLine="640" w:firstLineChars="200"/>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万元，主要是（资金分配去向），较202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sz w:val="32"/>
          <w:szCs w:val="32"/>
        </w:rPr>
        <w:t xml:space="preserve">  </w:t>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spacing w:line="578" w:lineRule="exact"/>
        <w:ind w:firstLine="640" w:firstLineChars="200"/>
        <w:rPr>
          <w:rFonts w:hint="default" w:ascii="仿宋_GB2312" w:hAnsi="ˎ̥" w:eastAsia="仿宋_GB2312"/>
          <w:color w:val="000000" w:themeColor="text1"/>
          <w:sz w:val="32"/>
          <w:szCs w:val="32"/>
          <w:lang w:val="en-US"/>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118.51</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15.69</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随着医院的业务不断扩展和发展，员工的工作量也随之增加，导致工作效率下降，于是人员增加能够提升工作效率，也能更好的提高服务质量，所以我院</w:t>
      </w:r>
      <w:r>
        <w:rPr>
          <w:rFonts w:hint="eastAsia" w:ascii="仿宋_GB2312" w:hAnsi="ˎ̥" w:eastAsia="仿宋_GB2312"/>
          <w:color w:val="000000" w:themeColor="text1"/>
          <w:sz w:val="32"/>
          <w:szCs w:val="32"/>
          <w:lang w:val="en-US" w:eastAsia="zh-CN"/>
          <w14:textFill>
            <w14:solidFill>
              <w14:schemeClr w14:val="tx1"/>
            </w14:solidFill>
          </w14:textFill>
        </w:rPr>
        <w:t>2024年新增8名职工，相对应职工的工资及五险一金等支出有所增加。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w:t>
      </w:r>
      <w:r>
        <w:rPr>
          <w:rFonts w:hint="eastAsia" w:ascii="仿宋_GB2312" w:hAnsi="ˎ̥" w:eastAsia="仿宋_GB2312"/>
          <w:color w:val="000000" w:themeColor="text1"/>
          <w:sz w:val="32"/>
          <w:szCs w:val="32"/>
          <w:lang w:eastAsia="zh-CN"/>
          <w14:textFill>
            <w14:solidFill>
              <w14:schemeClr w14:val="tx1"/>
            </w14:solidFill>
          </w14:textFill>
        </w:rPr>
        <w:t>无结余结转</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万元，（简要说明结转结余的</w:t>
      </w:r>
      <w:r>
        <w:rPr>
          <w:rFonts w:ascii="仿宋_GB2312" w:hAnsi="ˎ̥" w:eastAsia="仿宋_GB2312"/>
          <w:color w:val="000000" w:themeColor="text1"/>
          <w:sz w:val="32"/>
          <w:szCs w:val="32"/>
          <w14:textFill>
            <w14:solidFill>
              <w14:schemeClr w14:val="tx1"/>
            </w14:solidFill>
          </w14:textFill>
        </w:rPr>
        <w:t>构成</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77" w:name="_Toc17398_WPSOffice_Level2"/>
      <w:bookmarkStart w:id="78" w:name="_Toc21737_WPSOffice_Level2"/>
      <w:bookmarkStart w:id="79" w:name="_Toc19665_WPSOffice_Level2"/>
      <w:bookmarkStart w:id="80" w:name="_Toc23005_WPSOffice_Level2"/>
      <w:bookmarkStart w:id="81" w:name="_Toc9989_WPSOffice_Level2"/>
      <w:bookmarkStart w:id="82" w:name="_Toc13694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118.51</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15.69</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随着医院的业务不断扩展和发展，员工的工作量也随之增加，导致工作效率下降，于是人员增加能够提升工作效率，也能更好的提高服务质量，所以我院</w:t>
      </w:r>
      <w:r>
        <w:rPr>
          <w:rFonts w:hint="eastAsia" w:ascii="仿宋_GB2312" w:hAnsi="ˎ̥" w:eastAsia="仿宋_GB2312"/>
          <w:color w:val="000000" w:themeColor="text1"/>
          <w:sz w:val="32"/>
          <w:szCs w:val="32"/>
          <w:lang w:val="en-US" w:eastAsia="zh-CN"/>
          <w14:textFill>
            <w14:solidFill>
              <w14:schemeClr w14:val="tx1"/>
            </w14:solidFill>
          </w14:textFill>
        </w:rPr>
        <w:t>2024年新增8名职工，相对应职工的工资及五险一金等支出有所增加。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3" w:name="_Toc27767_WPSOffice_Level2"/>
      <w:bookmarkStart w:id="84" w:name="_Toc2711_WPSOffice_Level2"/>
      <w:bookmarkStart w:id="85" w:name="_Toc18793_WPSOffice_Level2"/>
      <w:bookmarkStart w:id="86" w:name="_Toc19535_WPSOffice_Level2"/>
      <w:bookmarkStart w:id="87" w:name="_Toc23864_WPSOffice_Level2"/>
      <w:bookmarkStart w:id="88" w:name="_Toc19075_WPSOffice_Level2"/>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716.64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81.88</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96.58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11.05</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60.81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6.96</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5136_WPSOffice_Level2"/>
      <w:bookmarkStart w:id="90" w:name="_Toc29364_WPSOffice_Level2"/>
      <w:bookmarkStart w:id="91" w:name="_Toc15415_WPSOffice_Level2"/>
      <w:bookmarkStart w:id="92" w:name="_Toc21701_WPSOffice_Level2"/>
      <w:bookmarkStart w:id="93" w:name="_Toc22318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874.02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rPr>
      </w:pP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%。决算数大于（小于）预算数的主要原因</w:t>
      </w:r>
      <w:r>
        <w:rPr>
          <w:rFonts w:hint="eastAsia" w:ascii="仿宋_GB2312" w:hAnsi="ˎ̥" w:eastAsia="仿宋_GB2312"/>
          <w:color w:val="000000" w:themeColor="text1"/>
          <w:sz w:val="32"/>
          <w:szCs w:val="32"/>
          <w:lang w:eastAsia="zh-CN"/>
          <w14:textFill>
            <w14:solidFill>
              <w14:schemeClr w14:val="tx1"/>
            </w14:solidFill>
          </w14:textFill>
        </w:rPr>
        <w:t>是不涉及。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874.02</w:t>
      </w:r>
      <w:r>
        <w:rPr>
          <w:rFonts w:hint="eastAsia" w:ascii="仿宋_GB2312" w:hAnsi="ˎ̥" w:eastAsia="仿宋_GB2312"/>
          <w:sz w:val="32"/>
          <w:szCs w:val="32"/>
        </w:rPr>
        <w:t>万元，其中：人员经费</w:t>
      </w:r>
      <w:r>
        <w:rPr>
          <w:rFonts w:ascii="仿宋_GB2312" w:hAnsi="ˎ̥" w:eastAsia="仿宋_GB2312"/>
          <w:color w:val="000000" w:themeColor="text1"/>
          <w:sz w:val="32"/>
          <w:szCs w:val="32"/>
          <w:lang w:val="en-US"/>
          <w14:textFill>
            <w14:solidFill>
              <w14:schemeClr w14:val="tx1"/>
            </w14:solidFill>
          </w14:textFill>
        </w:rPr>
        <w:t>826.25</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w:t>
      </w:r>
      <w:r>
        <w:rPr>
          <w:rFonts w:hint="eastAsia" w:ascii="仿宋_GB2312" w:hAnsi="ˎ̥" w:eastAsia="仿宋_GB2312"/>
          <w:sz w:val="32"/>
          <w:szCs w:val="32"/>
        </w:rPr>
        <w:t>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w:t>
      </w:r>
      <w:r>
        <w:rPr>
          <w:rFonts w:hint="eastAsia" w:ascii="仿宋_GB2312" w:hAnsi="ˎ̥" w:eastAsia="仿宋_GB2312"/>
          <w:color w:val="000000" w:themeColor="text1"/>
          <w:sz w:val="32"/>
          <w:szCs w:val="32"/>
          <w14:textFill>
            <w14:solidFill>
              <w14:schemeClr w14:val="tx1"/>
            </w14:solidFill>
          </w14:textFill>
        </w:rPr>
        <w:t>公用经费</w:t>
      </w:r>
      <w:r>
        <w:rPr>
          <w:rFonts w:ascii="仿宋_GB2312" w:hAnsi="ˎ̥" w:eastAsia="仿宋_GB2312"/>
          <w:color w:val="000000" w:themeColor="text1"/>
          <w:sz w:val="32"/>
          <w:szCs w:val="32"/>
          <w:lang w:val="en-US"/>
          <w14:textFill>
            <w14:solidFill>
              <w14:schemeClr w14:val="tx1"/>
            </w14:solidFill>
          </w14:textFill>
        </w:rPr>
        <w:t>47.77</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w:t>
      </w:r>
      <w:r>
        <w:rPr>
          <w:rFonts w:hint="eastAsia" w:ascii="仿宋_GB2312" w:hAnsi="ˎ̥" w:eastAsia="仿宋_GB2312"/>
          <w:sz w:val="32"/>
          <w:szCs w:val="32"/>
        </w:rPr>
        <w:t>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w:t>
      </w:r>
      <w:r>
        <w:rPr>
          <w:rFonts w:hint="eastAsia" w:ascii="仿宋_GB2312" w:hAnsi="ˎ̥" w:eastAsia="仿宋_GB2312"/>
          <w:color w:val="000000" w:themeColor="text1"/>
          <w:sz w:val="32"/>
          <w:szCs w:val="32"/>
          <w:lang w:eastAsia="zh-CN"/>
          <w14:textFill>
            <w14:solidFill>
              <w14:schemeClr w14:val="tx1"/>
            </w14:solidFill>
          </w14:textFill>
        </w:rPr>
        <w:t>是不涉及</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（款）</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%。决算数大于（小于）预算数的主要原因</w:t>
      </w:r>
      <w:r>
        <w:rPr>
          <w:rFonts w:hint="eastAsia" w:ascii="仿宋_GB2312" w:hAnsi="ˎ̥" w:eastAsia="仿宋_GB2312"/>
          <w:color w:val="000000" w:themeColor="text1"/>
          <w:sz w:val="32"/>
          <w:szCs w:val="32"/>
          <w:lang w:eastAsia="zh-CN"/>
          <w14:textFill>
            <w14:solidFill>
              <w14:schemeClr w14:val="tx1"/>
            </w14:solidFill>
          </w14:textFill>
        </w:rPr>
        <w:t>不涉及。</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不涉及</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（款）</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%。决算数大于（小于）预算数的主要原因</w:t>
      </w:r>
      <w:r>
        <w:rPr>
          <w:rFonts w:hint="eastAsia" w:ascii="仿宋_GB2312" w:hAnsi="ˎ̥" w:eastAsia="仿宋_GB2312"/>
          <w:color w:val="000000" w:themeColor="text1"/>
          <w:sz w:val="32"/>
          <w:szCs w:val="32"/>
          <w:lang w:eastAsia="zh-CN"/>
          <w14:textFill>
            <w14:solidFill>
              <w14:schemeClr w14:val="tx1"/>
            </w14:solidFill>
          </w14:textFill>
        </w:rPr>
        <w:t>是不涉及。</w:t>
      </w:r>
      <w:bookmarkStart w:id="119" w:name="_GoBack"/>
      <w:bookmarkEnd w:id="119"/>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4.74</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4.74</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w:t>
      </w:r>
      <w:r>
        <w:rPr>
          <w:rFonts w:hint="eastAsia" w:ascii="仿宋_GB2312" w:hAnsi="ˎ̥" w:eastAsia="仿宋_GB2312"/>
          <w:color w:val="000000" w:themeColor="text1"/>
          <w:sz w:val="32"/>
          <w:szCs w:val="32"/>
          <w:lang w:eastAsia="zh-CN"/>
          <w14:textFill>
            <w14:solidFill>
              <w14:schemeClr w14:val="tx1"/>
            </w14:solidFill>
          </w14:textFill>
        </w:rPr>
        <w:t>减少</w:t>
      </w:r>
      <w:r>
        <w:rPr>
          <w:rFonts w:hint="eastAsia" w:ascii="仿宋_GB2312" w:hAnsi="ˎ̥" w:eastAsia="仿宋_GB2312"/>
          <w:color w:val="000000" w:themeColor="text1"/>
          <w:sz w:val="32"/>
          <w:szCs w:val="32"/>
          <w:lang w:val="en-US" w:eastAsia="zh-CN"/>
          <w14:textFill>
            <w14:solidFill>
              <w14:schemeClr w14:val="tx1"/>
            </w14:solidFill>
          </w14:textFill>
        </w:rPr>
        <w:t>0.51</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下降</w:t>
      </w:r>
      <w:r>
        <w:rPr>
          <w:rFonts w:hint="eastAsia" w:ascii="仿宋_GB2312" w:hAnsi="ˎ̥" w:eastAsia="仿宋_GB2312"/>
          <w:color w:val="000000" w:themeColor="text1"/>
          <w:sz w:val="32"/>
          <w:szCs w:val="32"/>
          <w:lang w:val="en-US" w:eastAsia="zh-CN"/>
          <w14:textFill>
            <w14:solidFill>
              <w14:schemeClr w14:val="tx1"/>
            </w14:solidFill>
          </w14:textFill>
        </w:rPr>
        <w:t>10.76</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是</w:t>
      </w:r>
      <w:r>
        <w:rPr>
          <w:rFonts w:hint="eastAsia" w:ascii="仿宋_GB2312" w:hAnsi="ˎ̥" w:eastAsia="仿宋_GB2312"/>
          <w:color w:val="000000" w:themeColor="text1"/>
          <w:sz w:val="32"/>
          <w:szCs w:val="32"/>
          <w:lang w:val="en-US" w:eastAsia="zh-CN"/>
          <w14:textFill>
            <w14:solidFill>
              <w14:schemeClr w14:val="tx1"/>
            </w14:solidFill>
          </w14:textFill>
        </w:rPr>
        <w:t xml:space="preserve"> 一辆救护车转借给油恰乡卫生院</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sz w:val="32"/>
          <w:szCs w:val="32"/>
        </w:rPr>
        <w:t xml:space="preserve">  </w:t>
      </w: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4.74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1</w:t>
      </w:r>
      <w:r>
        <w:rPr>
          <w:rFonts w:hint="eastAsia" w:ascii="仿宋_GB2312" w:hAnsi="ˎ̥" w:eastAsia="仿宋_GB2312"/>
          <w:b/>
          <w:color w:val="000000" w:themeColor="text1"/>
          <w:sz w:val="32"/>
          <w:szCs w:val="32"/>
          <w14:textFill>
            <w14:solidFill>
              <w14:schemeClr w14:val="tx1"/>
            </w14:solidFill>
          </w14:textFill>
        </w:rPr>
        <w:t>.因公出国（境）费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w:t>
      </w:r>
      <w:r>
        <w:rPr>
          <w:rFonts w:hint="eastAsia" w:ascii="仿宋_GB2312" w:hAnsi="ˎ̥" w:eastAsia="仿宋_GB2312"/>
          <w:color w:val="000000" w:themeColor="text1"/>
          <w:sz w:val="32"/>
          <w:szCs w:val="32"/>
          <w:lang w:eastAsia="zh-CN"/>
          <w14:textFill>
            <w14:solidFill>
              <w14:schemeClr w14:val="tx1"/>
            </w14:solidFill>
          </w14:textFill>
        </w:rPr>
        <w:t>是不涉及。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比预算数增加（减少）</w:t>
      </w:r>
      <w:r>
        <w:rPr>
          <w:rFonts w:hint="eastAsia" w:ascii="仿宋_GB2312" w:hAnsi="ˎ̥" w:eastAsia="仿宋_GB2312"/>
          <w:sz w:val="32"/>
          <w:szCs w:val="32"/>
          <w:lang w:eastAsia="zh-CN"/>
        </w:rPr>
        <w:t>不涉及</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sz w:val="32"/>
          <w:szCs w:val="32"/>
          <w:lang w:eastAsia="zh-CN"/>
        </w:rPr>
        <w:t>不涉及</w:t>
      </w:r>
      <w:r>
        <w:rPr>
          <w:rFonts w:hint="default"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因公出国（境）费支出</w:t>
      </w:r>
      <w:r>
        <w:rPr>
          <w:rFonts w:hint="eastAsia" w:ascii="仿宋_GB2312" w:hAnsi="ˎ̥" w:eastAsia="仿宋_GB2312"/>
          <w:sz w:val="32"/>
          <w:szCs w:val="32"/>
          <w:lang w:eastAsia="zh-CN"/>
        </w:rPr>
        <w:t>不涉及</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sz w:val="32"/>
          <w:szCs w:val="32"/>
          <w:lang w:eastAsia="zh-CN"/>
        </w:rPr>
        <w:t>不涉及</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000000" w:themeColor="text1"/>
          <w:sz w:val="32"/>
          <w:szCs w:val="32"/>
          <w:lang w:val="en-US"/>
          <w14:textFill>
            <w14:solidFill>
              <w14:schemeClr w14:val="tx1"/>
            </w14:solidFill>
          </w14:textFill>
        </w:rPr>
        <w:t>4.74</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辆，主要用于</w:t>
      </w:r>
      <w:r>
        <w:rPr>
          <w:rFonts w:hint="eastAsia" w:ascii="仿宋_GB2312" w:hAnsi="ˎ̥" w:eastAsia="仿宋_GB2312"/>
          <w:color w:val="000000" w:themeColor="text1"/>
          <w:sz w:val="32"/>
          <w:szCs w:val="32"/>
          <w:lang w:eastAsia="zh-CN"/>
          <w14:textFill>
            <w14:solidFill>
              <w14:schemeClr w14:val="tx1"/>
            </w14:solidFill>
          </w14:textFill>
        </w:rPr>
        <w:t>下乡及办理业务</w:t>
      </w:r>
      <w:r>
        <w:rPr>
          <w:rFonts w:hint="eastAsia" w:ascii="仿宋_GB2312" w:hAnsi="ˎ̥" w:eastAsia="仿宋_GB2312"/>
          <w:color w:val="000000" w:themeColor="text1"/>
          <w:sz w:val="32"/>
          <w:szCs w:val="32"/>
          <w14:textFill>
            <w14:solidFill>
              <w14:schemeClr w14:val="tx1"/>
            </w14:solidFill>
          </w14:textFill>
        </w:rPr>
        <w:t>，年末公务用车保有量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4.74</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公车维护及油料费</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eastAsia="zh-CN"/>
          <w14:textFill>
            <w14:solidFill>
              <w14:schemeClr w14:val="tx1"/>
            </w14:solidFill>
          </w14:textFill>
        </w:rPr>
        <w:t>减少</w:t>
      </w:r>
      <w:r>
        <w:rPr>
          <w:rFonts w:hint="eastAsia" w:ascii="仿宋_GB2312" w:hAnsi="ˎ̥" w:eastAsia="仿宋_GB2312"/>
          <w:color w:val="000000" w:themeColor="text1"/>
          <w:sz w:val="32"/>
          <w:szCs w:val="32"/>
          <w:lang w:val="en-US" w:eastAsia="zh-CN"/>
          <w14:textFill>
            <w14:solidFill>
              <w14:schemeClr w14:val="tx1"/>
            </w14:solidFill>
          </w14:textFill>
        </w:rPr>
        <w:t>0.51</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下降</w:t>
      </w:r>
      <w:r>
        <w:rPr>
          <w:rFonts w:hint="eastAsia" w:ascii="仿宋_GB2312" w:hAnsi="ˎ̥" w:eastAsia="仿宋_GB2312"/>
          <w:color w:val="000000" w:themeColor="text1"/>
          <w:sz w:val="32"/>
          <w:szCs w:val="32"/>
          <w:lang w:val="en-US" w:eastAsia="zh-CN"/>
          <w14:textFill>
            <w14:solidFill>
              <w14:schemeClr w14:val="tx1"/>
            </w14:solidFill>
          </w14:textFill>
        </w:rPr>
        <w:t>10.76</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 xml:space="preserve"> 一辆救护车转借给油恰乡卫生院</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 xml:space="preserve">    3</w:t>
      </w:r>
      <w:r>
        <w:rPr>
          <w:rFonts w:hint="eastAsia" w:ascii="仿宋_GB2312" w:hAnsi="ˎ̥" w:eastAsia="仿宋_GB2312"/>
          <w:b/>
          <w:color w:val="000000" w:themeColor="text1"/>
          <w:sz w:val="32"/>
          <w:szCs w:val="32"/>
          <w14:textFill>
            <w14:solidFill>
              <w14:schemeClr w14:val="tx1"/>
            </w14:solidFill>
          </w14:textFill>
        </w:rPr>
        <w:t>.公务接待费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人次；主要</w:t>
      </w:r>
      <w:r>
        <w:rPr>
          <w:rFonts w:hint="eastAsia" w:ascii="仿宋_GB2312" w:hAnsi="ˎ̥" w:eastAsia="仿宋_GB2312"/>
          <w:color w:val="000000" w:themeColor="text1"/>
          <w:sz w:val="32"/>
          <w:szCs w:val="32"/>
          <w:lang w:eastAsia="zh-CN"/>
          <w14:textFill>
            <w14:solidFill>
              <w14:schemeClr w14:val="tx1"/>
            </w14:solidFill>
          </w14:textFill>
        </w:rPr>
        <w:t>是不涉及</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人次；主要</w:t>
      </w:r>
      <w:r>
        <w:rPr>
          <w:rFonts w:hint="eastAsia" w:ascii="仿宋_GB2312" w:hAnsi="ˎ̥" w:eastAsia="仿宋_GB2312"/>
          <w:color w:val="000000" w:themeColor="text1"/>
          <w:sz w:val="32"/>
          <w:szCs w:val="32"/>
          <w:lang w:eastAsia="zh-CN"/>
          <w14:textFill>
            <w14:solidFill>
              <w14:schemeClr w14:val="tx1"/>
            </w14:solidFill>
          </w14:textFill>
        </w:rPr>
        <w:t>是不涉及</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不涉及</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共涉及资金874.02万元，占一般公共预算项目支出总额的100%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年度政府性基金预算项目开展绩效自评，共涉及资金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年度国有资本经营预算项目开展绩效自评，共涉及资金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万元，占国有资本经营预算项目支出总额的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p>
    <w:p>
      <w:pPr>
        <w:spacing w:line="578" w:lineRule="exact"/>
        <w:ind w:firstLine="640" w:firstLineChars="200"/>
        <w:rPr>
          <w:rFonts w:hint="eastAsia" w:ascii="仿宋_GB2312" w:eastAsia="仿宋_GB2312"/>
          <w:color w:val="000000"/>
          <w:sz w:val="32"/>
          <w:szCs w:val="32"/>
        </w:rPr>
      </w:pPr>
      <w:r>
        <w:rPr>
          <w:rFonts w:hint="eastAsia" w:ascii="仿宋_GB2312" w:eastAsia="仿宋_GB2312"/>
          <w:color w:val="000000" w:themeColor="text1"/>
          <w:sz w:val="32"/>
          <w:szCs w:val="32"/>
          <w14:textFill>
            <w14:solidFill>
              <w14:schemeClr w14:val="tx1"/>
            </w14:solidFill>
          </w14:textFill>
        </w:rPr>
        <w:t>共组织对共组织对“</w:t>
      </w:r>
      <w:r>
        <w:rPr>
          <w:rFonts w:hint="eastAsia" w:ascii="仿宋_GB2312" w:eastAsia="仿宋_GB2312"/>
          <w:color w:val="000000" w:themeColor="text1"/>
          <w:sz w:val="32"/>
          <w:szCs w:val="32"/>
          <w:lang w:val="en-US" w:eastAsia="zh-CN"/>
          <w14:textFill>
            <w14:solidFill>
              <w14:schemeClr w14:val="tx1"/>
            </w14:solidFill>
          </w14:textFill>
        </w:rPr>
        <w:t>人员类，公用经费</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个项目开展了部门评价，</w:t>
      </w:r>
      <w:r>
        <w:rPr>
          <w:rFonts w:hint="eastAsia" w:ascii="仿宋_GB2312" w:eastAsia="仿宋_GB2312"/>
          <w:color w:val="000000" w:themeColor="text1"/>
          <w:sz w:val="32"/>
          <w:szCs w:val="32"/>
          <w:lang w:bidi="ar"/>
          <w14:textFill>
            <w14:solidFill>
              <w14:schemeClr w14:val="tx1"/>
            </w14:solidFill>
          </w14:textFill>
        </w:rPr>
        <w:t>涉及一般公共预算支出</w:t>
      </w:r>
      <w:r>
        <w:rPr>
          <w:rFonts w:hint="eastAsia" w:ascii="仿宋_GB2312" w:eastAsia="仿宋_GB2312"/>
          <w:color w:val="000000" w:themeColor="text1"/>
          <w:sz w:val="32"/>
          <w:szCs w:val="32"/>
          <w:lang w:val="en-US" w:eastAsia="zh-CN" w:bidi="ar"/>
          <w14:textFill>
            <w14:solidFill>
              <w14:schemeClr w14:val="tx1"/>
            </w14:solidFill>
          </w14:textFill>
        </w:rPr>
        <w:t>874.02</w:t>
      </w:r>
      <w:r>
        <w:rPr>
          <w:rFonts w:hint="eastAsia" w:ascii="仿宋_GB2312" w:eastAsia="仿宋_GB2312"/>
          <w:color w:val="000000" w:themeColor="text1"/>
          <w:sz w:val="32"/>
          <w:szCs w:val="32"/>
          <w:lang w:bidi="ar"/>
          <w14:textFill>
            <w14:solidFill>
              <w14:schemeClr w14:val="tx1"/>
            </w14:solidFill>
          </w14:textFill>
        </w:rPr>
        <w:t>万元，政府性基金预算支出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万元，国有资本经营预算支出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从评价情况来看，</w:t>
      </w:r>
      <w:r>
        <w:rPr>
          <w:rFonts w:hint="eastAsia" w:ascii="仿宋_GB2312" w:eastAsia="仿宋_GB2312"/>
          <w:color w:val="000000"/>
          <w:sz w:val="32"/>
          <w:szCs w:val="32"/>
        </w:rPr>
        <w:t>从评价情况来看，</w:t>
      </w:r>
      <w:r>
        <w:rPr>
          <w:rFonts w:hint="eastAsia" w:ascii="仿宋_GB2312" w:eastAsia="仿宋_GB2312"/>
          <w:color w:val="000000"/>
          <w:sz w:val="32"/>
          <w:szCs w:val="32"/>
          <w:lang w:eastAsia="zh-CN"/>
        </w:rPr>
        <w:t>我院一般公共预算绩效目标完成情况良好。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参照如下格式说明（表述应与决算内容保持一致）：我部门（单位）在部门决算中反映</w:t>
      </w:r>
      <w:r>
        <w:rPr>
          <w:rFonts w:hint="eastAsia" w:ascii="仿宋_GB2312" w:eastAsia="仿宋_GB2312"/>
          <w:color w:val="000000" w:themeColor="text1"/>
          <w:sz w:val="32"/>
          <w:szCs w:val="32"/>
          <w:lang w:val="en-US" w:eastAsia="zh-CN"/>
          <w14:textFill>
            <w14:solidFill>
              <w14:schemeClr w14:val="tx1"/>
            </w14:solidFill>
          </w14:textFill>
        </w:rPr>
        <w:t>人员类</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个项目绩效自评结果（包括项目绩效自评表和项目绩效自评报告）。</w:t>
      </w:r>
    </w:p>
    <w:p>
      <w:pPr>
        <w:spacing w:line="578"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eastAsia="zh-CN"/>
          <w14:textFill>
            <w14:solidFill>
              <w14:schemeClr w14:val="tx1"/>
            </w14:solidFill>
          </w14:textFill>
        </w:rPr>
        <w:t>一般公共预算</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val="en-US" w:eastAsia="zh-CN"/>
          <w14:textFill>
            <w14:solidFill>
              <w14:schemeClr w14:val="tx1"/>
            </w14:solidFill>
          </w14:textFill>
        </w:rPr>
        <w:t>1产出指标，</w:t>
      </w:r>
      <w:r>
        <w:rPr>
          <w:rFonts w:hint="eastAsia" w:ascii="仿宋_GB2312" w:eastAsia="仿宋_GB2312"/>
          <w:color w:val="000000"/>
          <w:sz w:val="32"/>
          <w:szCs w:val="32"/>
          <w:lang w:eastAsia="zh-CN"/>
        </w:rPr>
        <w:t>数量指标，单位在职人数&gt;=</w:t>
      </w:r>
      <w:r>
        <w:rPr>
          <w:rFonts w:hint="eastAsia" w:ascii="仿宋_GB2312" w:eastAsia="仿宋_GB2312"/>
          <w:color w:val="000000"/>
          <w:sz w:val="32"/>
          <w:szCs w:val="32"/>
          <w:lang w:val="en-US" w:eastAsia="zh-CN"/>
        </w:rPr>
        <w:t>39</w:t>
      </w:r>
      <w:r>
        <w:rPr>
          <w:rFonts w:hint="eastAsia" w:ascii="仿宋_GB2312" w:eastAsia="仿宋_GB2312"/>
          <w:color w:val="000000"/>
          <w:sz w:val="32"/>
          <w:szCs w:val="32"/>
          <w:lang w:eastAsia="zh-CN"/>
        </w:rPr>
        <w:t>人</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实际完成值</w:t>
      </w:r>
      <w:r>
        <w:rPr>
          <w:rFonts w:hint="eastAsia" w:ascii="仿宋_GB2312" w:eastAsia="仿宋_GB2312"/>
          <w:color w:val="000000"/>
          <w:sz w:val="32"/>
          <w:szCs w:val="32"/>
          <w:lang w:val="en-US" w:eastAsia="zh-CN"/>
        </w:rPr>
        <w:t>=39人 分值=10分  得分=10分</w:t>
      </w:r>
    </w:p>
    <w:p>
      <w:pPr>
        <w:pStyle w:val="2"/>
        <w:ind w:left="0" w:leftChars="0" w:firstLine="0" w:firstLineChars="0"/>
        <w:rPr>
          <w:rFonts w:hint="default"/>
          <w:b w:val="0"/>
          <w:bCs/>
          <w:color w:val="000000"/>
          <w:lang w:val="en-US" w:eastAsia="zh-CN"/>
        </w:rPr>
      </w:pPr>
      <w:r>
        <w:rPr>
          <w:rFonts w:hint="eastAsia" w:ascii="仿宋_GB2312" w:eastAsia="仿宋_GB2312"/>
          <w:b w:val="0"/>
          <w:bCs/>
          <w:color w:val="000000"/>
          <w:sz w:val="32"/>
          <w:szCs w:val="32"/>
          <w:lang w:val="en-US" w:eastAsia="zh-CN"/>
        </w:rPr>
        <w:t>2 产出指标，质量指标 年度指标=足额</w:t>
      </w:r>
      <w:r>
        <w:rPr>
          <w:rFonts w:hint="eastAsia" w:ascii="仿宋_GB2312" w:eastAsia="仿宋_GB2312"/>
          <w:color w:val="000000"/>
          <w:sz w:val="32"/>
          <w:szCs w:val="32"/>
          <w:lang w:val="en-US" w:eastAsia="zh-CN"/>
        </w:rPr>
        <w:t xml:space="preserve"> </w:t>
      </w:r>
      <w:r>
        <w:rPr>
          <w:rFonts w:hint="eastAsia" w:ascii="仿宋_GB2312" w:eastAsia="仿宋_GB2312"/>
          <w:b w:val="0"/>
          <w:bCs/>
          <w:color w:val="000000"/>
          <w:sz w:val="32"/>
          <w:szCs w:val="32"/>
          <w:lang w:eastAsia="zh-CN"/>
        </w:rPr>
        <w:t>实际完成值</w:t>
      </w:r>
      <w:r>
        <w:rPr>
          <w:rFonts w:hint="eastAsia" w:ascii="仿宋_GB2312" w:eastAsia="仿宋_GB2312"/>
          <w:b w:val="0"/>
          <w:bCs/>
          <w:color w:val="000000"/>
          <w:sz w:val="32"/>
          <w:szCs w:val="32"/>
          <w:lang w:val="en-US" w:eastAsia="zh-CN"/>
        </w:rPr>
        <w:t>=足额</w:t>
      </w:r>
    </w:p>
    <w:p>
      <w:pPr>
        <w:spacing w:line="578" w:lineRule="exac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分值=10  得分=10</w:t>
      </w:r>
    </w:p>
    <w:p>
      <w:pPr>
        <w:spacing w:line="578" w:lineRule="exact"/>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w:t>
      </w:r>
      <w:r>
        <w:rPr>
          <w:rFonts w:hint="eastAsia" w:ascii="仿宋_GB2312" w:eastAsia="仿宋_GB2312"/>
          <w:b w:val="0"/>
          <w:bCs/>
          <w:color w:val="000000"/>
          <w:sz w:val="32"/>
          <w:szCs w:val="32"/>
          <w:lang w:val="en-US" w:eastAsia="zh-CN"/>
        </w:rPr>
        <w:t xml:space="preserve"> 产出指标，时效指标，资金兑现率，年度指标=100%</w:t>
      </w:r>
      <w:r>
        <w:rPr>
          <w:rFonts w:hint="eastAsia" w:ascii="仿宋_GB2312" w:eastAsia="仿宋_GB2312"/>
          <w:b w:val="0"/>
          <w:bCs/>
          <w:color w:val="000000"/>
          <w:sz w:val="32"/>
          <w:szCs w:val="32"/>
          <w:lang w:eastAsia="zh-CN"/>
        </w:rPr>
        <w:t>实际完成值</w:t>
      </w:r>
      <w:r>
        <w:rPr>
          <w:rFonts w:hint="eastAsia" w:ascii="仿宋_GB2312" w:eastAsia="仿宋_GB2312"/>
          <w:b w:val="0"/>
          <w:bCs/>
          <w:color w:val="000000"/>
          <w:sz w:val="32"/>
          <w:szCs w:val="32"/>
          <w:lang w:val="en-US" w:eastAsia="zh-CN"/>
        </w:rPr>
        <w:t xml:space="preserve">=100%  </w:t>
      </w:r>
      <w:r>
        <w:rPr>
          <w:rFonts w:hint="eastAsia" w:ascii="仿宋_GB2312" w:eastAsia="仿宋_GB2312"/>
          <w:color w:val="000000"/>
          <w:sz w:val="32"/>
          <w:szCs w:val="32"/>
          <w:lang w:val="en-US" w:eastAsia="zh-CN"/>
        </w:rPr>
        <w:t>分值=10分  得分=10分</w:t>
      </w:r>
    </w:p>
    <w:p>
      <w:pPr>
        <w:spacing w:line="578" w:lineRule="exact"/>
        <w:jc w:val="both"/>
        <w:rPr>
          <w:rFonts w:hint="eastAsia" w:ascii="仿宋_GB2312" w:eastAsia="仿宋_GB2312"/>
          <w:color w:val="000000"/>
          <w:sz w:val="32"/>
          <w:szCs w:val="32"/>
          <w:lang w:val="en-US" w:eastAsia="zh-CN"/>
        </w:rPr>
      </w:pPr>
      <w:r>
        <w:rPr>
          <w:rFonts w:hint="eastAsia" w:ascii="仿宋_GB2312" w:eastAsia="仿宋_GB2312"/>
          <w:b w:val="0"/>
          <w:bCs/>
          <w:color w:val="000000"/>
          <w:sz w:val="32"/>
          <w:szCs w:val="32"/>
          <w:lang w:val="en-US" w:eastAsia="zh-CN"/>
        </w:rPr>
        <w:t>4 产出指标，时效指标，资金准时发放率，年度指标≤100%</w:t>
      </w:r>
      <w:r>
        <w:rPr>
          <w:rFonts w:hint="eastAsia" w:ascii="仿宋_GB2312" w:eastAsia="仿宋_GB2312"/>
          <w:b w:val="0"/>
          <w:bCs/>
          <w:color w:val="000000"/>
          <w:sz w:val="32"/>
          <w:szCs w:val="32"/>
          <w:lang w:eastAsia="zh-CN"/>
        </w:rPr>
        <w:t>实际完成值</w:t>
      </w:r>
      <w:r>
        <w:rPr>
          <w:rFonts w:hint="eastAsia" w:ascii="仿宋_GB2312" w:eastAsia="仿宋_GB2312"/>
          <w:b w:val="0"/>
          <w:bCs/>
          <w:color w:val="000000"/>
          <w:sz w:val="32"/>
          <w:szCs w:val="32"/>
          <w:lang w:val="en-US" w:eastAsia="zh-CN"/>
        </w:rPr>
        <w:t xml:space="preserve">≤100%  </w:t>
      </w:r>
      <w:r>
        <w:rPr>
          <w:rFonts w:hint="eastAsia" w:ascii="仿宋_GB2312" w:eastAsia="仿宋_GB2312"/>
          <w:color w:val="000000"/>
          <w:sz w:val="32"/>
          <w:szCs w:val="32"/>
          <w:lang w:val="en-US" w:eastAsia="zh-CN"/>
        </w:rPr>
        <w:t>分值=10分  得分=10分</w:t>
      </w:r>
    </w:p>
    <w:p>
      <w:pPr>
        <w:pStyle w:val="2"/>
        <w:rPr>
          <w:rFonts w:hint="eastAsia"/>
          <w:color w:val="000000"/>
          <w:lang w:val="en-US" w:eastAsia="zh-CN"/>
        </w:rPr>
      </w:pPr>
    </w:p>
    <w:p>
      <w:pPr>
        <w:spacing w:line="578" w:lineRule="exact"/>
        <w:jc w:val="both"/>
        <w:rPr>
          <w:rFonts w:hint="eastAsia" w:ascii="仿宋_GB2312" w:eastAsia="仿宋_GB2312"/>
          <w:color w:val="000000"/>
          <w:sz w:val="32"/>
          <w:szCs w:val="32"/>
          <w:lang w:val="en-US" w:eastAsia="zh-CN"/>
        </w:rPr>
      </w:pPr>
      <w:r>
        <w:rPr>
          <w:rFonts w:hint="eastAsia" w:ascii="仿宋_GB2312" w:eastAsia="仿宋_GB2312"/>
          <w:b w:val="0"/>
          <w:bCs/>
          <w:color w:val="000000"/>
          <w:sz w:val="32"/>
          <w:szCs w:val="32"/>
          <w:lang w:val="en-US" w:eastAsia="zh-CN"/>
        </w:rPr>
        <w:t xml:space="preserve">5 产出指标，成本指标，总成本，年度指标值≤874.02万元，实际完成值=874.02万元  </w:t>
      </w:r>
      <w:r>
        <w:rPr>
          <w:rFonts w:hint="eastAsia" w:ascii="仿宋_GB2312" w:eastAsia="仿宋_GB2312"/>
          <w:color w:val="000000"/>
          <w:sz w:val="32"/>
          <w:szCs w:val="32"/>
          <w:lang w:val="en-US" w:eastAsia="zh-CN"/>
        </w:rPr>
        <w:t>分值=10分  得分=10分</w:t>
      </w:r>
    </w:p>
    <w:p>
      <w:pPr>
        <w:spacing w:line="578" w:lineRule="exact"/>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  效益指标，经济效益指标，结余率=0</w:t>
      </w:r>
      <w:r>
        <w:rPr>
          <w:rFonts w:hint="eastAsia" w:ascii="仿宋" w:hAnsi="仿宋" w:eastAsia="仿宋" w:cs="仿宋"/>
          <w:b w:val="0"/>
          <w:bCs/>
          <w:color w:val="000000"/>
          <w:sz w:val="30"/>
          <w:szCs w:val="30"/>
          <w:lang w:val="en-US" w:eastAsia="zh-CN"/>
        </w:rPr>
        <w:t xml:space="preserve">实际完成值=0元  </w:t>
      </w:r>
      <w:r>
        <w:rPr>
          <w:rFonts w:hint="eastAsia" w:ascii="仿宋" w:hAnsi="仿宋" w:eastAsia="仿宋" w:cs="仿宋"/>
          <w:color w:val="000000"/>
          <w:sz w:val="30"/>
          <w:szCs w:val="30"/>
          <w:lang w:val="en-US" w:eastAsia="zh-CN"/>
        </w:rPr>
        <w:t>分值=10分  得分=10分</w:t>
      </w:r>
    </w:p>
    <w:p>
      <w:pPr>
        <w:spacing w:line="578" w:lineRule="exact"/>
        <w:jc w:val="both"/>
        <w:rPr>
          <w:rFonts w:hint="eastAsia" w:ascii="仿宋_GB2312" w:eastAsia="仿宋_GB2312"/>
          <w:color w:val="000000"/>
          <w:sz w:val="32"/>
          <w:szCs w:val="32"/>
          <w:lang w:val="en-US" w:eastAsia="zh-CN"/>
        </w:rPr>
      </w:pPr>
      <w:r>
        <w:rPr>
          <w:rFonts w:hint="eastAsia" w:ascii="仿宋" w:hAnsi="仿宋" w:eastAsia="仿宋" w:cs="仿宋"/>
          <w:color w:val="000000"/>
          <w:sz w:val="30"/>
          <w:szCs w:val="30"/>
          <w:lang w:val="en-US" w:eastAsia="zh-CN"/>
        </w:rPr>
        <w:t>7 效益指标，社会效益指标，年度指标有效促进，</w:t>
      </w:r>
      <w:r>
        <w:rPr>
          <w:rFonts w:hint="eastAsia" w:ascii="仿宋" w:hAnsi="仿宋" w:eastAsia="仿宋" w:cs="仿宋"/>
          <w:b w:val="0"/>
          <w:bCs/>
          <w:color w:val="000000"/>
          <w:sz w:val="30"/>
          <w:szCs w:val="30"/>
          <w:lang w:val="en-US" w:eastAsia="zh-CN"/>
        </w:rPr>
        <w:t>实际完成值≤100%</w:t>
      </w:r>
      <w:r>
        <w:rPr>
          <w:rFonts w:hint="eastAsia" w:ascii="仿宋_GB2312" w:eastAsia="仿宋_GB2312"/>
          <w:color w:val="000000"/>
          <w:sz w:val="32"/>
          <w:szCs w:val="32"/>
          <w:lang w:val="en-US" w:eastAsia="zh-CN"/>
        </w:rPr>
        <w:t>分值=10分  得分=10分</w:t>
      </w:r>
    </w:p>
    <w:p>
      <w:pPr>
        <w:spacing w:line="578" w:lineRule="exact"/>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 效益指标，可持续影响指标保障工作人员 生活水平，年度指标不断提高分值=10分  得分=10分</w:t>
      </w:r>
    </w:p>
    <w:p>
      <w:pPr>
        <w:spacing w:line="578" w:lineRule="exact"/>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 效益指标 生态效益，提高经济收入改善干部职工生活水平分值=10分  得分=10分</w:t>
      </w:r>
    </w:p>
    <w:p>
      <w:pPr>
        <w:spacing w:line="578" w:lineRule="exact"/>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10 满意度指标，服务对象满意度 年度指标值≥95%   实际完成值100%分值=10分  得分=10分</w:t>
      </w:r>
    </w:p>
    <w:p>
      <w:pPr>
        <w:spacing w:line="578" w:lineRule="exact"/>
        <w:rPr>
          <w:rFonts w:hint="eastAsia" w:ascii="仿宋_GB2312" w:eastAsia="仿宋_GB2312"/>
          <w:color w:val="000000"/>
          <w:sz w:val="32"/>
          <w:szCs w:val="32"/>
          <w:lang w:eastAsia="zh-CN"/>
        </w:rPr>
      </w:pPr>
      <w:r>
        <w:rPr>
          <w:rFonts w:hint="eastAsia" w:ascii="仿宋_GB2312" w:eastAsia="仿宋_GB2312"/>
          <w:sz w:val="32"/>
          <w:szCs w:val="32"/>
          <w:lang w:val="en-US" w:eastAsia="zh-CN"/>
        </w:rPr>
        <w:t>0</w:t>
      </w:r>
      <w:r>
        <w:rPr>
          <w:rFonts w:hint="eastAsia" w:ascii="仿宋_GB2312" w:eastAsia="仿宋_GB2312"/>
          <w:sz w:val="32"/>
          <w:szCs w:val="32"/>
        </w:rPr>
        <w:t>项目绩效自评报告：根据年初设定的绩效目标，项目绩效自评</w:t>
      </w:r>
      <w:r>
        <w:rPr>
          <w:rFonts w:hint="eastAsia" w:ascii="仿宋_GB2312" w:eastAsia="仿宋_GB2312"/>
          <w:color w:val="000000"/>
          <w:sz w:val="32"/>
          <w:szCs w:val="32"/>
        </w:rPr>
        <w:t>得分为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分。全年预算数为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%。项目绩效目标完成情况：</w:t>
      </w:r>
      <w:r>
        <w:rPr>
          <w:rFonts w:hint="eastAsia" w:ascii="仿宋_GB2312" w:eastAsia="仿宋_GB2312"/>
          <w:color w:val="000000"/>
          <w:sz w:val="32"/>
          <w:szCs w:val="32"/>
          <w:lang w:eastAsia="zh-CN"/>
        </w:rPr>
        <w:t>不涉及此项</w:t>
      </w:r>
    </w:p>
    <w:p>
      <w:pPr>
        <w:spacing w:line="578" w:lineRule="exact"/>
        <w:rPr>
          <w:rFonts w:hint="default" w:ascii="仿宋_GB2312" w:eastAsia="仿宋_GB2312"/>
          <w:sz w:val="32"/>
          <w:szCs w:val="32"/>
          <w:lang w:val="en-US" w:eastAsia="zh-CN"/>
        </w:rPr>
      </w:pPr>
      <w:r>
        <w:rPr>
          <w:rFonts w:hint="eastAsia" w:ascii="仿宋_GB2312" w:eastAsia="仿宋_GB2312"/>
          <w:color w:val="000000"/>
          <w:sz w:val="32"/>
          <w:szCs w:val="32"/>
        </w:rPr>
        <w:t>。发现的主要问题及原因：</w:t>
      </w:r>
      <w:r>
        <w:rPr>
          <w:rFonts w:hint="eastAsia" w:ascii="仿宋_GB2312" w:eastAsia="仿宋_GB2312"/>
          <w:color w:val="000000"/>
          <w:sz w:val="32"/>
          <w:szCs w:val="32"/>
          <w:lang w:eastAsia="zh-CN"/>
        </w:rPr>
        <w:t>我院预算执行及绩效管理中存在问题为因在职干部各保险上缴资金不足，经费来源难以保障，此后改善措施为：一加强预算编制管理，扎实预算执行基础，二增强法</w:t>
      </w:r>
      <w:r>
        <w:rPr>
          <w:rFonts w:hint="eastAsia" w:ascii="仿宋_GB2312" w:eastAsia="仿宋_GB2312"/>
          <w:sz w:val="32"/>
          <w:szCs w:val="32"/>
          <w:lang w:eastAsia="zh-CN"/>
        </w:rPr>
        <w:t>制意识，强化预算执行的严厉性，三</w:t>
      </w:r>
      <w:r>
        <w:rPr>
          <w:rFonts w:hint="eastAsia" w:ascii="仿宋_GB2312" w:eastAsia="仿宋_GB2312"/>
          <w:sz w:val="32"/>
          <w:szCs w:val="32"/>
          <w:lang w:val="en-US" w:eastAsia="zh-CN"/>
        </w:rPr>
        <w:t xml:space="preserve"> 加强预算执行分析，提高运行效率和使用效益。</w:t>
      </w:r>
    </w:p>
    <w:p>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spacing w:line="578" w:lineRule="exact"/>
        <w:ind w:firstLine="640" w:firstLineChars="200"/>
        <w:rPr>
          <w:rFonts w:hint="eastAsia" w:ascii="仿宋_GB2312" w:eastAsia="仿宋_GB2312"/>
          <w:sz w:val="32"/>
          <w:szCs w:val="32"/>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eastAsia="仿宋_GB2312"/>
          <w:sz w:val="32"/>
          <w:szCs w:val="32"/>
        </w:rPr>
        <w:t>。</w:t>
      </w:r>
    </w:p>
    <w:p>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18325_WPSOffice_Level2"/>
      <w:bookmarkStart w:id="97" w:name="_Toc15565_WPSOffice_Level2"/>
      <w:bookmarkStart w:id="98" w:name="_Toc5978_WPSOffice_Level2"/>
      <w:bookmarkStart w:id="99" w:name="_Toc23598_WPSOffice_Level2"/>
      <w:bookmarkStart w:id="100" w:name="_Toc15262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 xml:space="preserve">办公设施设备购置经费增加（减少）/资产运行维护支出增加（减少）/信息系统运行维护支出增加（减少）/人员编制数量增加（减少）/落实过紧日子要求压减 </w:t>
      </w:r>
      <w:r>
        <w:rPr>
          <w:rFonts w:hint="eastAsia" w:ascii="仿宋_GB2312" w:hAnsi="ˎ̥" w:eastAsia="仿宋_GB2312"/>
          <w:color w:val="auto"/>
          <w:sz w:val="32"/>
          <w:szCs w:val="32"/>
          <w:lang w:val="en-US" w:eastAsia="zh-CN" w:bidi="ar"/>
        </w:rPr>
        <w:t>0</w:t>
      </w:r>
      <w:r>
        <w:rPr>
          <w:rFonts w:hint="eastAsia" w:ascii="仿宋_GB2312" w:hAnsi="ˎ̥" w:eastAsia="仿宋_GB2312"/>
          <w:color w:val="auto"/>
          <w:sz w:val="32"/>
          <w:szCs w:val="32"/>
          <w:lang w:bidi="ar"/>
        </w:rPr>
        <w:t>支出/……等</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0383_WPSOffice_Level2"/>
      <w:bookmarkStart w:id="102" w:name="_Toc25333_WPSOffice_Level2"/>
      <w:bookmarkStart w:id="103" w:name="_Toc13084_WPSOffice_Level2"/>
      <w:bookmarkStart w:id="104" w:name="_Toc23966_WPSOffice_Level2"/>
      <w:bookmarkStart w:id="105" w:name="_Toc3131_WPSOffice_Level2"/>
      <w:bookmarkStart w:id="106" w:name="_Toc32689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0902_WPSOffice_Level2"/>
      <w:bookmarkStart w:id="108" w:name="_Toc527_WPSOffice_Level2"/>
      <w:bookmarkStart w:id="109" w:name="_Toc19989_WPSOffice_Level2"/>
      <w:bookmarkStart w:id="110" w:name="_Toc15129_WPSOffice_Level2"/>
      <w:bookmarkStart w:id="111" w:name="_Toc29584_WPSOffice_Level2"/>
      <w:bookmarkStart w:id="112" w:name="_Toc6016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260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医院公车一般用于接送病人及业务办理，为高校医疗与转护航</w:t>
      </w:r>
      <w:r>
        <w:rPr>
          <w:rFonts w:hint="eastAsia" w:ascii="仿宋_GB2312" w:hAnsi="ˎ̥" w:eastAsia="仿宋_GB2312"/>
          <w:color w:val="auto"/>
          <w:sz w:val="32"/>
          <w:szCs w:val="32"/>
        </w:rPr>
        <w:t>。</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年末在建工程</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8874_WPSOffice_Level1"/>
      <w:bookmarkStart w:id="114" w:name="_Toc11039_WPSOffice_Level1"/>
      <w:bookmarkStart w:id="115" w:name="_Toc8808_WPSOffice_Level1"/>
      <w:bookmarkStart w:id="116" w:name="_Toc17580_WPSOffice_Level1"/>
      <w:bookmarkStart w:id="117" w:name="_Toc4398_WPSOffice_Level1"/>
      <w:bookmarkStart w:id="118" w:name="_Toc15425_WPSOffice_Level1"/>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000000" w:themeColor="text1"/>
          <w:sz w:val="36"/>
          <w:szCs w:val="36"/>
          <w14:textFill>
            <w14:solidFill>
              <w14:schemeClr w14:val="tx1"/>
            </w14:solidFill>
          </w14:textFill>
        </w:rPr>
      </w:pPr>
      <w:r>
        <w:rPr>
          <w:rFonts w:hint="eastAsia" w:ascii="仿宋_GB2312" w:hAnsi="ˎ̥" w:eastAsia="仿宋_GB2312"/>
          <w:color w:val="000000" w:themeColor="text1"/>
          <w:sz w:val="36"/>
          <w:szCs w:val="36"/>
          <w14:textFill>
            <w14:solidFill>
              <w14:schemeClr w14:val="tx1"/>
            </w14:solidFill>
          </w14:textFill>
        </w:rPr>
        <w:t>XXXX（类）XXXX（款）XXXX（项），</w:t>
      </w:r>
      <w:r>
        <w:rPr>
          <w:rFonts w:ascii="仿宋_GB2312" w:hAnsi="ˎ̥" w:eastAsia="仿宋_GB2312"/>
          <w:color w:val="000000" w:themeColor="text1"/>
          <w:sz w:val="36"/>
          <w:szCs w:val="36"/>
          <w14:textFill>
            <w14:solidFill>
              <w14:schemeClr w14:val="tx1"/>
            </w14:solidFill>
          </w14:textFill>
        </w:rPr>
        <w:t>……</w:t>
      </w:r>
      <w:r>
        <w:rPr>
          <w:rFonts w:hint="eastAsia" w:ascii="仿宋_GB2312" w:hAnsi="ˎ̥" w:eastAsia="仿宋_GB2312"/>
          <w:color w:val="000000" w:themeColor="text1"/>
          <w:sz w:val="36"/>
          <w:szCs w:val="36"/>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000000" w:themeColor="text1"/>
          <w:sz w:val="36"/>
          <w:szCs w:val="36"/>
          <w:lang w:val="en-US" w:eastAsia="zh-CN"/>
          <w14:textFill>
            <w14:solidFill>
              <w14:schemeClr w14:val="tx1"/>
            </w14:solidFill>
          </w14:textFill>
        </w:rPr>
      </w:pPr>
      <w:r>
        <w:rPr>
          <w:rFonts w:hint="eastAsia" w:ascii="仿宋_GB2312" w:hAnsi="ˎ̥" w:eastAsia="仿宋_GB2312"/>
          <w:color w:val="000000" w:themeColor="text1"/>
          <w:sz w:val="36"/>
          <w:szCs w:val="36"/>
          <w14:textFill>
            <w14:solidFill>
              <w14:schemeClr w14:val="tx1"/>
            </w14:solidFill>
          </w14:textFill>
        </w:rPr>
        <w:t>XXXX（类）XXXX（款）XXXX（项），</w:t>
      </w:r>
      <w:r>
        <w:rPr>
          <w:rFonts w:ascii="仿宋_GB2312" w:hAnsi="ˎ̥" w:eastAsia="仿宋_GB2312"/>
          <w:color w:val="000000" w:themeColor="text1"/>
          <w:sz w:val="36"/>
          <w:szCs w:val="36"/>
          <w14:textFill>
            <w14:solidFill>
              <w14:schemeClr w14:val="tx1"/>
            </w14:solidFill>
          </w14:textFill>
        </w:rPr>
        <w:t>……</w:t>
      </w:r>
      <w:r>
        <w:rPr>
          <w:rFonts w:hint="eastAsia" w:ascii="仿宋_GB2312" w:hAnsi="ˎ̥" w:eastAsia="仿宋_GB2312"/>
          <w:color w:val="000000" w:themeColor="text1"/>
          <w:sz w:val="36"/>
          <w:szCs w:val="36"/>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sz w:val="22"/>
          <w:szCs w:val="28"/>
          <w14:textFill>
            <w14:solidFill>
              <w14:schemeClr w14:val="tx1"/>
            </w14:solidFill>
          </w14:textFill>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2805A"/>
    <w:multiLevelType w:val="singleLevel"/>
    <w:tmpl w:val="84D2805A"/>
    <w:lvl w:ilvl="0" w:tentative="0">
      <w:start w:val="2"/>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357F66"/>
    <w:rsid w:val="07E91640"/>
    <w:rsid w:val="09201287"/>
    <w:rsid w:val="0AFC3EF1"/>
    <w:rsid w:val="0D791B45"/>
    <w:rsid w:val="0F5E7438"/>
    <w:rsid w:val="0FC80124"/>
    <w:rsid w:val="136F98C7"/>
    <w:rsid w:val="142E7D06"/>
    <w:rsid w:val="17427E68"/>
    <w:rsid w:val="1755065F"/>
    <w:rsid w:val="1AFC29C9"/>
    <w:rsid w:val="1CA52F2E"/>
    <w:rsid w:val="1DFE370B"/>
    <w:rsid w:val="1E3630B9"/>
    <w:rsid w:val="1ED04C05"/>
    <w:rsid w:val="240B6D36"/>
    <w:rsid w:val="26EEC2B5"/>
    <w:rsid w:val="29472309"/>
    <w:rsid w:val="2B406E77"/>
    <w:rsid w:val="2B8461C6"/>
    <w:rsid w:val="2C2A0C43"/>
    <w:rsid w:val="2D1E73A5"/>
    <w:rsid w:val="3062549B"/>
    <w:rsid w:val="32717154"/>
    <w:rsid w:val="333C189E"/>
    <w:rsid w:val="33875908"/>
    <w:rsid w:val="34B63260"/>
    <w:rsid w:val="37FDA7E2"/>
    <w:rsid w:val="3A314D88"/>
    <w:rsid w:val="3A67539D"/>
    <w:rsid w:val="3A746883"/>
    <w:rsid w:val="3CA15DE9"/>
    <w:rsid w:val="3D145F7C"/>
    <w:rsid w:val="3FE61EE5"/>
    <w:rsid w:val="406508EE"/>
    <w:rsid w:val="408D6263"/>
    <w:rsid w:val="41B40CEE"/>
    <w:rsid w:val="48317291"/>
    <w:rsid w:val="485F7024"/>
    <w:rsid w:val="48B051C8"/>
    <w:rsid w:val="48E70666"/>
    <w:rsid w:val="4C4F50D3"/>
    <w:rsid w:val="4C6877E5"/>
    <w:rsid w:val="4D6A468D"/>
    <w:rsid w:val="4EA86137"/>
    <w:rsid w:val="56CA7FD0"/>
    <w:rsid w:val="57FA38D1"/>
    <w:rsid w:val="5816406A"/>
    <w:rsid w:val="5F7D3333"/>
    <w:rsid w:val="60845FCB"/>
    <w:rsid w:val="61385890"/>
    <w:rsid w:val="615C223F"/>
    <w:rsid w:val="61D71997"/>
    <w:rsid w:val="687436E1"/>
    <w:rsid w:val="6DA45C50"/>
    <w:rsid w:val="6E9A7825"/>
    <w:rsid w:val="6F670F9B"/>
    <w:rsid w:val="70DF6157"/>
    <w:rsid w:val="71333A87"/>
    <w:rsid w:val="737450E0"/>
    <w:rsid w:val="74054476"/>
    <w:rsid w:val="742D7CC5"/>
    <w:rsid w:val="742F38C4"/>
    <w:rsid w:val="74AB66DC"/>
    <w:rsid w:val="74C4154C"/>
    <w:rsid w:val="75956FFF"/>
    <w:rsid w:val="77AA2D01"/>
    <w:rsid w:val="78E82DAF"/>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0"/>
      </w:tabs>
      <w:spacing w:beforeLines="0" w:beforeAutospacing="0" w:afterLines="0" w:afterAutospacing="0" w:line="324" w:lineRule="auto"/>
      <w:ind w:firstLine="1632" w:firstLineChars="200"/>
      <w:jc w:val="both"/>
      <w:outlineLvl w:val="0"/>
    </w:pPr>
    <w:rPr>
      <w:rFonts w:ascii="黑体" w:hAnsi="黑体" w:eastAsia="黑体" w:cs="黑体"/>
      <w:b/>
      <w:kern w:val="44"/>
      <w:sz w:val="32"/>
      <w:szCs w:val="24"/>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16</TotalTime>
  <ScaleCrop>false</ScaleCrop>
  <LinksUpToDate>false</LinksUpToDate>
  <CharactersWithSpaces>10608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2025-10-10T04:05:56Z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FBB83D92E70B4B58B38FE06BBC983CFA</vt:lpwstr>
  </property>
  <property fmtid="{D5CDD505-2E9C-101B-9397-08002B2CF9AE}" pid="4" name="KSOTemplateDocerSaveRecord">
    <vt:lpwstr>eyJoZGlkIjoiY2VlZThlZDk5ZTQ4MTFjNGY3MjIxNTdiOWMzZmQwMWMiLCJ1c2VySWQiOiIyMzQ5MTc1OTYifQ==</vt:lpwstr>
  </property>
</Properties>
</file>