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团色尼区委机关2024年度部门决算公开报告</w:t>
      </w:r>
    </w:p>
    <w:p>
      <w:pPr>
        <w:spacing w:line="578" w:lineRule="exact"/>
        <w:jc w:val="center"/>
        <w:rPr>
          <w:rFonts w:hint="eastAsia" w:ascii="黑体" w:hAnsi="黑体" w:eastAsia="黑体" w:cs="黑体"/>
          <w:color w:val="auto"/>
          <w:sz w:val="44"/>
          <w:szCs w:val="44"/>
        </w:rPr>
      </w:pPr>
      <w:bookmarkStart w:id="0" w:name="_Toc11440_WPSOffice_Type2"/>
    </w:p>
    <w:p>
      <w:pPr>
        <w:spacing w:line="578" w:lineRule="exact"/>
        <w:jc w:val="center"/>
        <w:rPr>
          <w:rFonts w:hint="eastAsia" w:ascii="黑体" w:hAnsi="黑体" w:eastAsia="黑体" w:cs="黑体"/>
          <w:color w:val="auto"/>
          <w:sz w:val="44"/>
          <w:szCs w:val="44"/>
        </w:rPr>
      </w:pPr>
    </w:p>
    <w:p>
      <w:pPr>
        <w:spacing w:line="578"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22941_WPSOffice_Level1"/>
      <w:bookmarkStart w:id="4" w:name="_Toc10049_WPSOffice_Level1"/>
      <w:bookmarkStart w:id="5" w:name="_Toc10720_WPSOffice_Level1"/>
      <w:bookmarkStart w:id="6" w:name="_Toc23465_WPSOffice_Level1"/>
      <w:bookmarkStart w:id="7" w:name="_Toc1704_WPSOffice_Level1"/>
      <w:bookmarkStart w:id="8" w:name="_Toc24238_WPSOffice_Level2"/>
      <w:bookmarkStart w:id="9" w:name="_Toc26580_WPSOffice_Level2"/>
      <w:bookmarkStart w:id="10" w:name="_Toc20274_WPSOffice_Level2"/>
      <w:bookmarkStart w:id="11" w:name="_Toc20205_WPSOffice_Level2"/>
      <w:bookmarkStart w:id="12" w:name="_Toc14159_WPSOffice_Level2"/>
      <w:bookmarkStart w:id="13" w:name="_Toc32622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spacing w:line="578" w:lineRule="exact"/>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ascii="仿宋_GB2312" w:hAnsi="ˎ̥" w:eastAsia="仿宋_GB2312"/>
          <w:sz w:val="32"/>
          <w:szCs w:val="32"/>
        </w:rPr>
        <w:t>(</w:t>
      </w:r>
      <w:r>
        <w:rPr>
          <w:rFonts w:hint="eastAsia" w:ascii="仿宋_GB2312" w:hAnsi="ˎ̥" w:eastAsia="仿宋_GB2312"/>
          <w:sz w:val="32"/>
          <w:szCs w:val="32"/>
        </w:rPr>
        <w:t>一</w:t>
      </w:r>
      <w:r>
        <w:rPr>
          <w:rFonts w:ascii="仿宋_GB2312" w:hAnsi="ˎ̥" w:eastAsia="仿宋_GB2312"/>
          <w:sz w:val="32"/>
          <w:szCs w:val="32"/>
        </w:rPr>
        <w:t>)</w:t>
      </w:r>
      <w:r>
        <w:rPr>
          <w:rFonts w:hint="eastAsia" w:ascii="仿宋_GB2312" w:hAnsi="ˎ̥" w:eastAsia="仿宋_GB2312"/>
          <w:sz w:val="32"/>
          <w:szCs w:val="32"/>
        </w:rPr>
        <w:t>贯彻执行区委和团区委的决议、指示，协助政府管理青</w:t>
      </w:r>
    </w:p>
    <w:p>
      <w:pPr>
        <w:spacing w:line="578" w:lineRule="exact"/>
        <w:rPr>
          <w:rFonts w:hint="eastAsia" w:ascii="仿宋_GB2312" w:hAnsi="ˎ̥" w:eastAsia="仿宋_GB2312"/>
          <w:sz w:val="32"/>
          <w:szCs w:val="32"/>
        </w:rPr>
      </w:pPr>
      <w:r>
        <w:rPr>
          <w:rFonts w:hint="eastAsia" w:ascii="仿宋_GB2312" w:hAnsi="ˎ̥" w:eastAsia="仿宋_GB2312"/>
          <w:sz w:val="32"/>
          <w:szCs w:val="32"/>
        </w:rPr>
        <w:t>少年事务，领导全色尼区共青团工作</w:t>
      </w:r>
      <w:r>
        <w:rPr>
          <w:rFonts w:ascii="仿宋_GB2312" w:hAnsi="ˎ̥" w:eastAsia="仿宋_GB2312"/>
          <w:sz w:val="32"/>
          <w:szCs w:val="32"/>
        </w:rPr>
        <w:t>,</w:t>
      </w:r>
      <w:r>
        <w:rPr>
          <w:rFonts w:hint="eastAsia" w:ascii="仿宋_GB2312" w:hAnsi="ˎ̥" w:eastAsia="仿宋_GB2312"/>
          <w:sz w:val="32"/>
          <w:szCs w:val="32"/>
        </w:rPr>
        <w:t>领导和指导色尼区青联、学联和少先队工作，承担组织青年、引导青年、服务青年和维护青少年合法权益的职能。</w:t>
      </w:r>
    </w:p>
    <w:p>
      <w:pPr>
        <w:spacing w:line="578" w:lineRule="exact"/>
        <w:ind w:left="479" w:leftChars="228"/>
        <w:rPr>
          <w:rFonts w:hint="eastAsia" w:ascii="仿宋_GB2312" w:hAnsi="ˎ̥" w:eastAsia="仿宋_GB2312"/>
          <w:sz w:val="32"/>
          <w:szCs w:val="32"/>
        </w:rPr>
      </w:pPr>
      <w:r>
        <w:rPr>
          <w:rFonts w:ascii="仿宋_GB2312" w:hAnsi="ˎ̥" w:eastAsia="仿宋_GB2312"/>
          <w:sz w:val="32"/>
          <w:szCs w:val="32"/>
        </w:rPr>
        <w:t>(</w:t>
      </w:r>
      <w:r>
        <w:rPr>
          <w:rFonts w:hint="eastAsia" w:ascii="仿宋_GB2312" w:hAnsi="ˎ̥" w:eastAsia="仿宋_GB2312"/>
          <w:sz w:val="32"/>
          <w:szCs w:val="32"/>
        </w:rPr>
        <w:t>二</w:t>
      </w:r>
      <w:r>
        <w:rPr>
          <w:rFonts w:ascii="仿宋_GB2312" w:hAnsi="ˎ̥" w:eastAsia="仿宋_GB2312"/>
          <w:sz w:val="32"/>
          <w:szCs w:val="32"/>
        </w:rPr>
        <w:t>)</w:t>
      </w:r>
      <w:r>
        <w:rPr>
          <w:rFonts w:hint="eastAsia" w:ascii="仿宋_GB2312" w:hAnsi="ˎ̥" w:eastAsia="仿宋_GB2312"/>
          <w:sz w:val="32"/>
          <w:szCs w:val="32"/>
        </w:rPr>
        <w:t>负责拟订全色尼区青少年事业发展规划和青少年工作方</w:t>
      </w:r>
    </w:p>
    <w:p>
      <w:pPr>
        <w:spacing w:line="578" w:lineRule="exact"/>
        <w:rPr>
          <w:rFonts w:hint="eastAsia" w:ascii="黑体" w:hAnsi="黑体" w:eastAsia="黑体" w:cs="黑体"/>
          <w:color w:val="auto"/>
          <w:sz w:val="32"/>
          <w:szCs w:val="32"/>
          <w:lang w:val="en-US" w:eastAsia="zh-CN"/>
        </w:rPr>
      </w:pPr>
      <w:r>
        <w:rPr>
          <w:rFonts w:hint="eastAsia" w:ascii="仿宋_GB2312" w:hAnsi="ˎ̥" w:eastAsia="仿宋_GB2312"/>
          <w:sz w:val="32"/>
          <w:szCs w:val="32"/>
        </w:rPr>
        <w:t>针、政策。对色尼区青年培训工作、青少年活动阵地、青少年服务机构的建设和青少年读物出版等事务进行指导。</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三</w:t>
      </w:r>
      <w:r>
        <w:rPr>
          <w:rFonts w:ascii="仿宋_GB2312" w:hAnsi="ˎ̥" w:eastAsia="仿宋_GB2312"/>
          <w:sz w:val="32"/>
          <w:szCs w:val="32"/>
        </w:rPr>
        <w:t>)</w:t>
      </w:r>
      <w:r>
        <w:rPr>
          <w:rFonts w:hint="eastAsia" w:ascii="仿宋_GB2312" w:hAnsi="ˎ̥" w:eastAsia="仿宋_GB2312"/>
          <w:sz w:val="32"/>
          <w:szCs w:val="32"/>
        </w:rPr>
        <w:t>参与有关青少年事务的法律、法规、规章、办法的制定和实施，处理、协调与青少年利益相关的事务，向党和政府反映青年的意见和要求。</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四</w:t>
      </w:r>
      <w:r>
        <w:rPr>
          <w:rFonts w:ascii="仿宋_GB2312" w:hAnsi="ˎ̥" w:eastAsia="仿宋_GB2312"/>
          <w:sz w:val="32"/>
          <w:szCs w:val="32"/>
        </w:rPr>
        <w:t>)</w:t>
      </w:r>
      <w:r>
        <w:rPr>
          <w:rFonts w:hint="eastAsia" w:ascii="仿宋_GB2312" w:hAnsi="ˎ̥" w:eastAsia="仿宋_GB2312"/>
          <w:sz w:val="32"/>
          <w:szCs w:val="32"/>
        </w:rPr>
        <w:t>调查全色尼区青年思想动态和青年工作状况，研究青少年运动、青少年工作理论等问题，为区委、区政府制定相关政策提供决策依据。</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五</w:t>
      </w:r>
      <w:r>
        <w:rPr>
          <w:rFonts w:ascii="仿宋_GB2312" w:hAnsi="ˎ̥" w:eastAsia="仿宋_GB2312"/>
          <w:sz w:val="32"/>
          <w:szCs w:val="32"/>
        </w:rPr>
        <w:t>)</w:t>
      </w:r>
      <w:r>
        <w:rPr>
          <w:rFonts w:hint="eastAsia" w:ascii="仿宋_GB2312" w:hAnsi="ˎ̥" w:eastAsia="仿宋_GB2312"/>
          <w:sz w:val="32"/>
          <w:szCs w:val="32"/>
        </w:rPr>
        <w:t>指导全色尼区青少年思想教育和宣传文化活动，组织色尼区青少年开展以维护祖国统一、加强民族团结、反对分裂为主题的爱国主义教育，开展马克思主义</w:t>
      </w:r>
      <w:r>
        <w:rPr>
          <w:rFonts w:ascii="仿宋_GB2312" w:hAnsi="ˎ̥" w:eastAsia="仿宋_GB2312"/>
          <w:sz w:val="32"/>
          <w:szCs w:val="32"/>
        </w:rPr>
        <w:t>“</w:t>
      </w:r>
      <w:r>
        <w:rPr>
          <w:rFonts w:hint="eastAsia" w:ascii="仿宋_GB2312" w:hAnsi="ˎ̥" w:eastAsia="仿宋_GB2312"/>
          <w:sz w:val="32"/>
          <w:szCs w:val="32"/>
        </w:rPr>
        <w:t>四观</w:t>
      </w:r>
      <w:r>
        <w:rPr>
          <w:rFonts w:ascii="仿宋_GB2312" w:hAnsi="ˎ̥" w:eastAsia="仿宋_GB2312"/>
          <w:sz w:val="32"/>
          <w:szCs w:val="32"/>
        </w:rPr>
        <w:t>”“</w:t>
      </w:r>
      <w:r>
        <w:rPr>
          <w:rFonts w:hint="eastAsia" w:ascii="仿宋_GB2312" w:hAnsi="ˎ̥" w:eastAsia="仿宋_GB2312"/>
          <w:sz w:val="32"/>
          <w:szCs w:val="32"/>
        </w:rPr>
        <w:t>两论</w:t>
      </w:r>
      <w:r>
        <w:rPr>
          <w:rFonts w:ascii="仿宋_GB2312" w:hAnsi="ˎ̥" w:eastAsia="仿宋_GB2312"/>
          <w:sz w:val="32"/>
          <w:szCs w:val="32"/>
        </w:rPr>
        <w:t>”</w:t>
      </w:r>
      <w:r>
        <w:rPr>
          <w:rFonts w:hint="eastAsia" w:ascii="仿宋_GB2312" w:hAnsi="ˎ̥" w:eastAsia="仿宋_GB2312"/>
          <w:sz w:val="32"/>
          <w:szCs w:val="32"/>
        </w:rPr>
        <w:t>教育，促进全色尼区社会局势和谐稳定和长治久安。</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六</w:t>
      </w:r>
      <w:r>
        <w:rPr>
          <w:rFonts w:ascii="仿宋_GB2312" w:hAnsi="ˎ̥" w:eastAsia="仿宋_GB2312"/>
          <w:sz w:val="32"/>
          <w:szCs w:val="32"/>
        </w:rPr>
        <w:t>)</w:t>
      </w:r>
      <w:r>
        <w:rPr>
          <w:rFonts w:hint="eastAsia" w:ascii="仿宋_GB2312" w:hAnsi="ˎ̥" w:eastAsia="仿宋_GB2312"/>
          <w:sz w:val="32"/>
          <w:szCs w:val="32"/>
        </w:rPr>
        <w:t>围绕区委、区政府中心工作，组织团员青年在推进经济社会长足发展中发挥生力军和突击队作用。</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七</w:t>
      </w:r>
      <w:r>
        <w:rPr>
          <w:rFonts w:ascii="仿宋_GB2312" w:hAnsi="ˎ̥" w:eastAsia="仿宋_GB2312"/>
          <w:sz w:val="32"/>
          <w:szCs w:val="32"/>
        </w:rPr>
        <w:t>)</w:t>
      </w:r>
      <w:r>
        <w:rPr>
          <w:rFonts w:hint="eastAsia" w:ascii="仿宋_GB2312" w:hAnsi="ˎ̥" w:eastAsia="仿宋_GB2312"/>
          <w:sz w:val="32"/>
          <w:szCs w:val="32"/>
        </w:rPr>
        <w:t>代表和维护青少年利益</w:t>
      </w:r>
      <w:r>
        <w:rPr>
          <w:rFonts w:ascii="仿宋_GB2312" w:hAnsi="ˎ̥" w:eastAsia="仿宋_GB2312"/>
          <w:sz w:val="32"/>
          <w:szCs w:val="32"/>
        </w:rPr>
        <w:t>,</w:t>
      </w:r>
      <w:r>
        <w:rPr>
          <w:rFonts w:hint="eastAsia" w:ascii="仿宋_GB2312" w:hAnsi="ˎ̥" w:eastAsia="仿宋_GB2312"/>
          <w:sz w:val="32"/>
          <w:szCs w:val="32"/>
        </w:rPr>
        <w:t>建立和完善青少年维权体系，会同有关部门做好未成年人保护工作。指导全色尼区青少年社会事务工作。</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八</w:t>
      </w:r>
      <w:r>
        <w:rPr>
          <w:rFonts w:ascii="仿宋_GB2312" w:hAnsi="ˎ̥" w:eastAsia="仿宋_GB2312"/>
          <w:sz w:val="32"/>
          <w:szCs w:val="32"/>
        </w:rPr>
        <w:t>)</w:t>
      </w:r>
      <w:r>
        <w:rPr>
          <w:rFonts w:hint="eastAsia" w:ascii="仿宋_GB2312" w:hAnsi="ˎ̥" w:eastAsia="仿宋_GB2312"/>
          <w:sz w:val="32"/>
          <w:szCs w:val="32"/>
        </w:rPr>
        <w:t>负责招募青年志愿者，组织指导青年志愿者开展各项志愿服务活动。</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九</w:t>
      </w:r>
      <w:r>
        <w:rPr>
          <w:rFonts w:ascii="仿宋_GB2312" w:hAnsi="ˎ̥" w:eastAsia="仿宋_GB2312"/>
          <w:sz w:val="32"/>
          <w:szCs w:val="32"/>
        </w:rPr>
        <w:t>)</w:t>
      </w:r>
      <w:r>
        <w:rPr>
          <w:rFonts w:hint="eastAsia" w:ascii="仿宋_GB2312" w:hAnsi="ˎ̥" w:eastAsia="仿宋_GB2312"/>
          <w:sz w:val="32"/>
          <w:szCs w:val="32"/>
        </w:rPr>
        <w:t>募集青少年事业发展资金，组织实施</w:t>
      </w:r>
      <w:r>
        <w:rPr>
          <w:rFonts w:ascii="仿宋_GB2312" w:hAnsi="ˎ̥" w:eastAsia="仿宋_GB2312"/>
          <w:sz w:val="32"/>
          <w:szCs w:val="32"/>
        </w:rPr>
        <w:t>“</w:t>
      </w:r>
      <w:r>
        <w:rPr>
          <w:rFonts w:hint="eastAsia" w:ascii="仿宋_GB2312" w:hAnsi="ˎ̥" w:eastAsia="仿宋_GB2312"/>
          <w:sz w:val="32"/>
          <w:szCs w:val="32"/>
        </w:rPr>
        <w:t>希望工程</w:t>
      </w:r>
      <w:r>
        <w:rPr>
          <w:rFonts w:ascii="仿宋_GB2312" w:hAnsi="ˎ̥" w:eastAsia="仿宋_GB2312"/>
          <w:sz w:val="32"/>
          <w:szCs w:val="32"/>
        </w:rPr>
        <w:t>”</w:t>
      </w:r>
      <w:r>
        <w:rPr>
          <w:rFonts w:hint="eastAsia" w:ascii="仿宋_GB2312" w:hAnsi="ˎ̥" w:eastAsia="仿宋_GB2312"/>
          <w:sz w:val="32"/>
          <w:szCs w:val="32"/>
        </w:rPr>
        <w:t>和</w:t>
      </w:r>
      <w:r>
        <w:rPr>
          <w:rFonts w:ascii="仿宋_GB2312" w:hAnsi="ˎ̥" w:eastAsia="仿宋_GB2312"/>
          <w:sz w:val="32"/>
          <w:szCs w:val="32"/>
        </w:rPr>
        <w:t>“</w:t>
      </w:r>
      <w:r>
        <w:rPr>
          <w:rFonts w:hint="eastAsia" w:ascii="仿宋_GB2312" w:hAnsi="ˎ̥" w:eastAsia="仿宋_GB2312"/>
          <w:sz w:val="32"/>
          <w:szCs w:val="32"/>
        </w:rPr>
        <w:t>保护母亲河行动</w:t>
      </w:r>
      <w:r>
        <w:rPr>
          <w:rFonts w:ascii="仿宋_GB2312" w:hAnsi="ˎ̥" w:eastAsia="仿宋_GB2312"/>
          <w:sz w:val="32"/>
          <w:szCs w:val="32"/>
        </w:rPr>
        <w:t>--</w:t>
      </w:r>
      <w:r>
        <w:rPr>
          <w:rFonts w:hint="eastAsia" w:ascii="仿宋_GB2312" w:hAnsi="ˎ̥" w:eastAsia="仿宋_GB2312"/>
          <w:sz w:val="32"/>
          <w:szCs w:val="32"/>
        </w:rPr>
        <w:t>高原绿色希望工程</w:t>
      </w:r>
      <w:r>
        <w:rPr>
          <w:rFonts w:ascii="仿宋_GB2312" w:hAnsi="ˎ̥" w:eastAsia="仿宋_GB2312"/>
          <w:sz w:val="32"/>
          <w:szCs w:val="32"/>
        </w:rPr>
        <w:t>”</w:t>
      </w:r>
      <w:r>
        <w:rPr>
          <w:rFonts w:hint="eastAsia" w:ascii="仿宋_GB2312" w:hAnsi="ˎ̥" w:eastAsia="仿宋_GB2312"/>
          <w:sz w:val="32"/>
          <w:szCs w:val="32"/>
        </w:rPr>
        <w:t>。</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十</w:t>
      </w:r>
      <w:r>
        <w:rPr>
          <w:rFonts w:ascii="仿宋_GB2312" w:hAnsi="ˎ̥" w:eastAsia="仿宋_GB2312"/>
          <w:sz w:val="32"/>
          <w:szCs w:val="32"/>
        </w:rPr>
        <w:t>)</w:t>
      </w:r>
      <w:r>
        <w:rPr>
          <w:rFonts w:hint="eastAsia" w:ascii="仿宋_GB2312" w:hAnsi="ˎ̥" w:eastAsia="仿宋_GB2312"/>
          <w:sz w:val="32"/>
          <w:szCs w:val="32"/>
        </w:rPr>
        <w:t>负责色尼区青年联合会和青年统战工作，组织指导色尼区青少年对内、对外友好交流。</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ascii="仿宋_GB2312" w:hAnsi="ˎ̥" w:eastAsia="仿宋_GB2312"/>
          <w:sz w:val="32"/>
          <w:szCs w:val="32"/>
        </w:rPr>
        <w:t>(</w:t>
      </w:r>
      <w:r>
        <w:rPr>
          <w:rFonts w:hint="eastAsia" w:ascii="仿宋_GB2312" w:hAnsi="ˎ̥" w:eastAsia="仿宋_GB2312"/>
          <w:sz w:val="32"/>
          <w:szCs w:val="32"/>
        </w:rPr>
        <w:t>十一</w:t>
      </w:r>
      <w:r>
        <w:rPr>
          <w:rFonts w:ascii="仿宋_GB2312" w:hAnsi="ˎ̥" w:eastAsia="仿宋_GB2312"/>
          <w:sz w:val="32"/>
          <w:szCs w:val="32"/>
        </w:rPr>
        <w:t>)</w:t>
      </w:r>
      <w:r>
        <w:rPr>
          <w:rFonts w:hint="eastAsia" w:ascii="仿宋_GB2312" w:hAnsi="ˎ̥" w:eastAsia="仿宋_GB2312"/>
          <w:sz w:val="32"/>
          <w:szCs w:val="32"/>
        </w:rPr>
        <w:t>负责拟订全色尼区团组织和团干部队伍建设的政策措施。指导色尼区共青团组织、团干部队伍建设。完成区委、区政府交办的其他事项。</w:t>
      </w:r>
    </w:p>
    <w:p>
      <w:pPr>
        <w:spacing w:line="578" w:lineRule="exact"/>
        <w:ind w:firstLine="640" w:firstLineChars="200"/>
        <w:rPr>
          <w:rFonts w:hint="eastAsia" w:ascii="黑体" w:hAnsi="黑体" w:eastAsia="黑体" w:cs="黑体"/>
          <w:color w:val="auto"/>
          <w:sz w:val="32"/>
          <w:szCs w:val="32"/>
        </w:rPr>
      </w:pPr>
      <w:bookmarkStart w:id="14" w:name="_Toc24059_WPSOffice_Level2"/>
      <w:bookmarkStart w:id="15" w:name="_Toc4833_WPSOffice_Level2"/>
      <w:bookmarkStart w:id="16" w:name="_Toc24474_WPSOffice_Level2"/>
      <w:bookmarkStart w:id="17" w:name="_Toc17796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eastAsia="zh-CN"/>
        </w:rPr>
        <w:t>共青团那曲市色尼区委员会</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w:t>
      </w:r>
      <w:r>
        <w:rPr>
          <w:rFonts w:hint="eastAsia" w:ascii="仿宋_GB2312" w:hAnsi="ˎ̥" w:eastAsia="仿宋_GB2312"/>
          <w:color w:val="auto"/>
          <w:sz w:val="32"/>
          <w:szCs w:val="32"/>
        </w:rPr>
        <w:t>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p>
    <w:p>
      <w:p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eastAsia="zh-CN"/>
        </w:rPr>
        <w:t>共青团那曲市色尼区委员会</w:t>
      </w:r>
      <w:r>
        <w:rPr>
          <w:rFonts w:hint="eastAsia" w:ascii="方正楷体_GBK" w:hAnsi="方正楷体_GBK" w:eastAsia="方正楷体_GBK" w:cs="方正楷体_GBK"/>
          <w:color w:val="auto"/>
          <w:sz w:val="32"/>
          <w:szCs w:val="32"/>
        </w:rPr>
        <w:t>部门本级</w:t>
      </w:r>
      <w:bookmarkEnd w:id="19"/>
      <w:bookmarkEnd w:id="20"/>
    </w:p>
    <w:p>
      <w:pPr>
        <w:spacing w:line="578" w:lineRule="exact"/>
        <w:ind w:firstLine="640" w:firstLineChars="200"/>
        <w:rPr>
          <w:rFonts w:hint="eastAsia" w:ascii="方正楷体_GBK" w:hAnsi="方正楷体_GBK" w:eastAsia="方正楷体_GBK" w:cs="方正楷体_GBK"/>
          <w:color w:val="auto"/>
          <w:sz w:val="32"/>
          <w:szCs w:val="32"/>
        </w:rPr>
      </w:pPr>
      <w:bookmarkStart w:id="21" w:name="_Toc4442_WPSOffice_Level2"/>
      <w:bookmarkStart w:id="22" w:name="_Toc19721_WPSOffice_Level2"/>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en-US" w:eastAsia="zh-CN"/>
        </w:rPr>
        <w:t>无</w:t>
      </w:r>
      <w:r>
        <w:rPr>
          <w:rFonts w:hint="eastAsia" w:ascii="方正楷体_GBK" w:hAnsi="方正楷体_GBK" w:eastAsia="方正楷体_GBK" w:cs="方正楷体_GBK"/>
          <w:color w:val="auto"/>
          <w:sz w:val="32"/>
          <w:szCs w:val="32"/>
        </w:rPr>
        <w:t>下属单位</w:t>
      </w:r>
      <w:bookmarkEnd w:id="21"/>
      <w:bookmarkEnd w:id="22"/>
    </w:p>
    <w:p>
      <w:pPr>
        <w:spacing w:line="578" w:lineRule="exact"/>
        <w:rPr>
          <w:rFonts w:hint="eastAsia" w:ascii="方正楷体_GBK" w:hAnsi="方正楷体_GBK" w:eastAsia="方正楷体_GBK" w:cs="方正楷体_GBK"/>
          <w:color w:val="auto"/>
          <w:sz w:val="32"/>
          <w:szCs w:val="32"/>
          <w:lang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eastAsia="zh-CN"/>
        </w:rPr>
        <w:t>共青团那曲市色尼区委员会无下属单位，单位内设只要办公室。</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23" w:name="_Toc6234_WPSOffice_Level1"/>
      <w:bookmarkStart w:id="24" w:name="_Toc30690_WPSOffice_Level1"/>
      <w:bookmarkStart w:id="25" w:name="_Toc28253_WPSOffice_Level1"/>
      <w:bookmarkStart w:id="26" w:name="_Toc30451_WPSOffice_Level1"/>
      <w:bookmarkStart w:id="27" w:name="_Toc15521_WPSOffice_Level1"/>
      <w:bookmarkStart w:id="28" w:name="_Toc8164_WPSOffice_Level1"/>
      <w:bookmarkStart w:id="29" w:name="_Toc6211_WPSOffice_Level2"/>
      <w:bookmarkStart w:id="30" w:name="_Toc8867_WPSOffice_Level2"/>
      <w:bookmarkStart w:id="31" w:name="_Toc4029_WPSOffice_Level2"/>
      <w:bookmarkStart w:id="32" w:name="_Toc11518_WPSOffice_Level2"/>
      <w:bookmarkStart w:id="33" w:name="_Toc32472_WPSOffice_Level2"/>
      <w:bookmarkStart w:id="34"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auto"/>
          <w:sz w:val="32"/>
          <w:szCs w:val="32"/>
        </w:rPr>
      </w:pPr>
      <w:bookmarkStart w:id="35" w:name="_Toc14349_WPSOffice_Level2"/>
      <w:bookmarkStart w:id="36" w:name="_Toc23139_WPSOffice_Level2"/>
      <w:bookmarkStart w:id="37" w:name="_Toc28622_WPSOffice_Level2"/>
      <w:bookmarkStart w:id="38" w:name="_Toc25608_WPSOffice_Level2"/>
      <w:bookmarkStart w:id="39" w:name="_Toc30334_WPSOffice_Level2"/>
      <w:bookmarkStart w:id="40" w:name="_Toc26621_WPSOffice_Level2"/>
      <w:r>
        <w:rPr>
          <w:rFonts w:hint="eastAsia" w:ascii="黑体" w:hAnsi="黑体" w:eastAsia="黑体" w:cs="黑体"/>
          <w:color w:val="auto"/>
          <w:sz w:val="32"/>
          <w:szCs w:val="32"/>
        </w:rPr>
        <w:t>二、收入决算公开表</w:t>
      </w:r>
      <w:bookmarkEnd w:id="35"/>
      <w:bookmarkEnd w:id="36"/>
      <w:bookmarkEnd w:id="37"/>
      <w:bookmarkEnd w:id="38"/>
      <w:bookmarkEnd w:id="39"/>
      <w:bookmarkEnd w:id="40"/>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41"/>
      <w:bookmarkEnd w:id="42"/>
      <w:bookmarkEnd w:id="43"/>
      <w:bookmarkEnd w:id="44"/>
      <w:bookmarkEnd w:id="45"/>
      <w:bookmarkEnd w:id="46"/>
      <w:bookmarkStart w:id="47" w:name="_Toc23591_WPSOffice_Level2"/>
      <w:bookmarkStart w:id="48" w:name="_Toc7988_WPSOffice_Level2"/>
      <w:bookmarkStart w:id="49" w:name="_Toc4265_WPSOffice_Level2"/>
      <w:bookmarkStart w:id="50" w:name="_Toc13701_WPSOffice_Level2"/>
      <w:bookmarkStart w:id="51" w:name="_Toc21415_WPSOffice_Level2"/>
      <w:bookmarkStart w:id="52"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auto"/>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Pr>
          <w:rFonts w:hint="eastAsia" w:ascii="黑体" w:hAnsi="黑体" w:eastAsia="黑体" w:cs="黑体"/>
          <w:color w:val="auto"/>
          <w:sz w:val="32"/>
          <w:szCs w:val="32"/>
        </w:rPr>
        <w:t>五、一般公共预算财政拨款收入支出决算</w:t>
      </w:r>
      <w:bookmarkEnd w:id="53"/>
      <w:bookmarkEnd w:id="54"/>
      <w:bookmarkEnd w:id="55"/>
      <w:bookmarkEnd w:id="56"/>
      <w:r>
        <w:rPr>
          <w:rFonts w:hint="eastAsia" w:ascii="黑体" w:hAnsi="黑体" w:eastAsia="黑体" w:cs="黑体"/>
          <w:color w:val="auto"/>
          <w:sz w:val="32"/>
          <w:szCs w:val="32"/>
        </w:rPr>
        <w:t>公开表</w:t>
      </w:r>
      <w:bookmarkEnd w:id="57"/>
      <w:bookmarkEnd w:id="58"/>
      <w:bookmarkStart w:id="59" w:name="_Toc2632_WPSOffice_Level2"/>
      <w:bookmarkStart w:id="60" w:name="_Toc17833_WPSOffice_Level2"/>
      <w:bookmarkStart w:id="61" w:name="_Toc17283_WPSOffice_Level2"/>
      <w:bookmarkStart w:id="62" w:name="_Toc5343_WPSOffice_Level2"/>
      <w:bookmarkStart w:id="63" w:name="_Toc8373_WPSOffice_Level2"/>
      <w:bookmarkStart w:id="64"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5" w:name="_Toc5594_WPSOffice_Level2"/>
      <w:bookmarkStart w:id="66" w:name="_Toc13345_WPSOffice_Level2"/>
      <w:bookmarkStart w:id="67" w:name="_Toc21310_WPSOffice_Level2"/>
      <w:bookmarkStart w:id="68" w:name="_Toc6020_WPSOffice_Level2"/>
      <w:bookmarkStart w:id="69" w:name="_Toc11799_WPSOffice_Level2"/>
      <w:bookmarkStart w:id="70" w:name="_Toc1533_WPSOffice_Level2"/>
      <w:r>
        <w:rPr>
          <w:rFonts w:hint="eastAsia" w:ascii="黑体" w:hAnsi="黑体" w:eastAsia="黑体" w:cs="黑体"/>
          <w:color w:val="auto"/>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71" w:name="_Toc29886_WPSOffice_Level2"/>
      <w:bookmarkStart w:id="72" w:name="_Toc9377_WPSOffice_Level2"/>
      <w:bookmarkStart w:id="73" w:name="_Toc1820_WPSOffice_Level2"/>
      <w:bookmarkStart w:id="74" w:name="_Toc19961_WPSOffice_Level2"/>
      <w:r>
        <w:rPr>
          <w:rFonts w:hint="eastAsia" w:ascii="黑体" w:hAnsi="黑体" w:eastAsia="黑体" w:cs="黑体"/>
          <w:color w:val="auto"/>
          <w:sz w:val="32"/>
          <w:szCs w:val="32"/>
        </w:rPr>
        <w:t>九、财政拨款“三公”经费支出决算</w:t>
      </w:r>
      <w:bookmarkEnd w:id="71"/>
      <w:bookmarkEnd w:id="72"/>
      <w:bookmarkEnd w:id="73"/>
      <w:bookmarkEnd w:id="74"/>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22.84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同比上一年在编人员减少，导致相对应的人员经费收入减少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同比上一年公用经费收入减少，原因为在编人员减少，导致相对应的办公费用、差旅费、印刷费等减少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194.95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26.58</w:t>
      </w:r>
      <w:r>
        <w:rPr>
          <w:rFonts w:hint="eastAsia" w:ascii="仿宋_GB2312" w:hAnsi="ˎ̥" w:eastAsia="仿宋_GB2312"/>
          <w:color w:val="auto"/>
          <w:sz w:val="32"/>
          <w:szCs w:val="32"/>
        </w:rPr>
        <w:t>万元，主要原因是二是</w:t>
      </w:r>
      <w:r>
        <w:rPr>
          <w:rFonts w:hint="eastAsia" w:ascii="仿宋_GB2312" w:hAnsi="ˎ̥" w:eastAsia="仿宋_GB2312"/>
          <w:color w:val="auto"/>
          <w:sz w:val="32"/>
          <w:szCs w:val="32"/>
          <w:lang w:eastAsia="zh-CN"/>
        </w:rPr>
        <w:t>同比上一年公用经费收入减少，原因为在编人员减少，导致相对应的办公费用、差旅费、印刷费等减少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3.74</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西部志愿者工作经费有剩余款</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原因为同比上一年西部志愿者各项开支减少，如：开展的活动次数减少，人员数量减少等，导致相对应费用支出减少。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8.98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按照财政要求不断提高按季度预算执行率提高</w:t>
      </w:r>
      <w:r>
        <w:rPr>
          <w:rFonts w:hint="eastAsia" w:ascii="仿宋_GB2312" w:hAnsi="ˎ̥" w:eastAsia="仿宋_GB2312"/>
          <w:color w:val="auto"/>
          <w:sz w:val="32"/>
          <w:szCs w:val="32"/>
          <w:lang w:val="en-US" w:eastAsia="zh-CN"/>
        </w:rPr>
        <w:t>25%，不断增加资金使用率，因此同比上一年年初结转结余有所下降，</w:t>
      </w:r>
      <w:r>
        <w:rPr>
          <w:rFonts w:hint="eastAsia" w:ascii="仿宋_GB2312" w:hAnsi="ˎ̥" w:eastAsia="仿宋_GB2312"/>
          <w:color w:val="auto"/>
          <w:sz w:val="32"/>
          <w:szCs w:val="32"/>
          <w:lang w:eastAsia="zh-CN"/>
        </w:rPr>
        <w:t>提到单位预算执行精度</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194.95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194.95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177.62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89</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21.07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194.95</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26.58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14</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同比上一年在编人员减少，导致相对应的人员经费收入减少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同比上一年公用经费收入减少，原因为在编人员减少，导致相对应的办公费用、差旅费、印刷费等减少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3.74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西部志愿者工作经费有剩余款</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原因为同比上一年西部志愿者各项开支减少，如：开展的活动次数减少，人员数量减少等，导致相对应费用支出减少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同比上一年在编人员减少，导致相对应公用经费支出缓慢</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3.74</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部志愿者工作经费有剩余款</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原因为同比上一年西部志愿者各项开支减少，如：开展的活动次数减少，人员数量减少等，导致相对应费用支出减少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8.98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71</w:t>
      </w:r>
      <w:r>
        <w:rPr>
          <w:rFonts w:hint="eastAsia" w:ascii="仿宋_GB2312" w:hAnsi="ˎ̥" w:eastAsia="仿宋_GB2312"/>
          <w:color w:val="auto"/>
          <w:sz w:val="32"/>
          <w:szCs w:val="32"/>
        </w:rPr>
        <w:t>%，主要原因是主要原因是</w:t>
      </w:r>
      <w:r>
        <w:rPr>
          <w:rFonts w:hint="eastAsia" w:ascii="仿宋_GB2312" w:hAnsi="ˎ̥" w:eastAsia="仿宋_GB2312"/>
          <w:color w:val="auto"/>
          <w:sz w:val="32"/>
          <w:szCs w:val="32"/>
          <w:lang w:eastAsia="zh-CN"/>
        </w:rPr>
        <w:t>按照财政要求不断提高按季度预算执行率提高</w:t>
      </w:r>
      <w:r>
        <w:rPr>
          <w:rFonts w:hint="eastAsia" w:ascii="仿宋_GB2312" w:hAnsi="ˎ̥" w:eastAsia="仿宋_GB2312"/>
          <w:color w:val="auto"/>
          <w:sz w:val="32"/>
          <w:szCs w:val="32"/>
          <w:lang w:val="en-US" w:eastAsia="zh-CN"/>
        </w:rPr>
        <w:t>25%，不断增加资金使用率，因此同比上一年年初结转结余有所下降，</w:t>
      </w:r>
      <w:r>
        <w:rPr>
          <w:rFonts w:hint="eastAsia" w:ascii="仿宋_GB2312" w:hAnsi="ˎ̥" w:eastAsia="仿宋_GB2312"/>
          <w:color w:val="auto"/>
          <w:sz w:val="32"/>
          <w:szCs w:val="32"/>
          <w:lang w:eastAsia="zh-CN"/>
        </w:rPr>
        <w:t>提到单位预算执行精度</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17398_WPSOffice_Level2"/>
      <w:bookmarkStart w:id="82" w:name="_Toc21737_WPSOffice_Level2"/>
      <w:bookmarkStart w:id="83" w:name="_Toc23005_WPSOffice_Level2"/>
      <w:bookmarkStart w:id="84" w:name="_Toc19665_WPSOffice_Level2"/>
      <w:bookmarkStart w:id="85" w:name="_Toc9989_WPSOffice_Level2"/>
      <w:bookmarkStart w:id="86" w:name="_Toc13694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w:t>
      </w:r>
      <w:r>
        <w:rPr>
          <w:rFonts w:hint="eastAsia" w:ascii="仿宋_GB2312" w:hAnsi="ˎ̥" w:eastAsia="仿宋_GB2312"/>
          <w:color w:val="auto"/>
          <w:sz w:val="32"/>
          <w:szCs w:val="32"/>
          <w:lang w:eastAsia="zh-CN"/>
        </w:rPr>
        <w:t>出</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32.69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14</w:t>
      </w:r>
      <w:r>
        <w:rPr>
          <w:rFonts w:hint="eastAsia" w:ascii="仿宋_GB2312" w:hAnsi="ˎ̥" w:eastAsia="仿宋_GB2312"/>
          <w:color w:val="auto"/>
          <w:sz w:val="32"/>
          <w:szCs w:val="32"/>
        </w:rPr>
        <w:t>%，主要原因是一是</w:t>
      </w:r>
      <w:r>
        <w:rPr>
          <w:rFonts w:hint="eastAsia" w:ascii="仿宋_GB2312" w:hAnsi="ˎ̥" w:eastAsia="仿宋_GB2312"/>
          <w:color w:val="auto"/>
          <w:sz w:val="32"/>
          <w:szCs w:val="32"/>
          <w:lang w:eastAsia="zh-CN"/>
        </w:rPr>
        <w:t>同比上一年在编人员减少，导致相对应的人员经费收入减少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同比上一年公用经费收入减少，原因为在编人员减少，导致相对应的办公费用、差旅费、印刷费等减少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19075_WPSOffice_Level2"/>
      <w:bookmarkStart w:id="88" w:name="_Toc18793_WPSOffice_Level2"/>
      <w:bookmarkStart w:id="89" w:name="_Toc23864_WPSOffice_Level2"/>
      <w:bookmarkStart w:id="90" w:name="_Toc19535_WPSOffice_Level2"/>
      <w:bookmarkStart w:id="91" w:name="_Toc2711_WPSOffice_Level2"/>
      <w:bookmarkStart w:id="92" w:name="_Toc27767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163.24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7.89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208.56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198.69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95</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eastAsia="zh-CN"/>
        </w:rPr>
        <w:t>团委无涉及该笔资金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177.62</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162.58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15.04</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共涉及资金27.15万元，占一般公共预算项目支出总额的100%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 xml:space="preserve">年度国有资本经营预算项目开展绩效自评，共涉及资金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少工委工作经费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27.15</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本部门对项目项目进行了绩效，对项目进行绩效申报、审核、监控、自评。</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我单位在部门决算中反映</w:t>
      </w:r>
      <w:r>
        <w:rPr>
          <w:rFonts w:hint="eastAsia" w:ascii="仿宋_GB2312" w:eastAsia="仿宋_GB2312"/>
          <w:color w:val="auto"/>
          <w:sz w:val="32"/>
          <w:szCs w:val="32"/>
          <w:lang w:val="en-US" w:eastAsia="zh-CN"/>
        </w:rPr>
        <w:t>少工委工作经费</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团委工作经费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项目绩效自评表：</w:t>
      </w:r>
    </w:p>
    <w:tbl>
      <w:tblPr>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45"/>
        <w:gridCol w:w="1045"/>
        <w:gridCol w:w="1639"/>
        <w:gridCol w:w="1783"/>
        <w:gridCol w:w="1783"/>
        <w:gridCol w:w="1161"/>
        <w:gridCol w:w="6"/>
        <w:gridCol w:w="1000"/>
        <w:gridCol w:w="6"/>
        <w:gridCol w:w="1161"/>
        <w:gridCol w:w="1045"/>
        <w:gridCol w:w="1740"/>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641" w:type="dxa"/>
          <w:trHeight w:val="960" w:hRule="atLeast"/>
        </w:trPr>
        <w:tc>
          <w:tcPr>
            <w:tcW w:w="13414" w:type="dxa"/>
            <w:gridSpan w:val="12"/>
            <w:shd w:val="clear" w:color="auto" w:fill="FFFFFF"/>
            <w:vAlign w:val="center"/>
          </w:tcPr>
          <w:p>
            <w:pPr>
              <w:keepNext w:val="0"/>
              <w:keepLines w:val="0"/>
              <w:widowControl/>
              <w:suppressLineNumbers w:val="0"/>
              <w:jc w:val="center"/>
              <w:textAlignment w:val="center"/>
              <w:rPr>
                <w:rFonts w:ascii="MingLiU" w:hAnsi="MingLiU" w:eastAsia="MingLiU" w:cs="MingLiU"/>
                <w:i w:val="0"/>
                <w:color w:val="auto"/>
                <w:sz w:val="28"/>
                <w:szCs w:val="28"/>
                <w:u w:val="none"/>
              </w:rPr>
            </w:pPr>
            <w:r>
              <w:rPr>
                <w:rStyle w:val="18"/>
                <w:color w:val="auto"/>
                <w:lang w:val="en-US" w:eastAsia="zh-CN" w:bidi="ar"/>
              </w:rPr>
              <w:t>那曲市色尼区项目支出绩效自评表</w:t>
            </w:r>
            <w:r>
              <w:rPr>
                <w:rStyle w:val="18"/>
                <w:color w:val="auto"/>
                <w:lang w:val="en-US" w:eastAsia="zh-CN" w:bidi="ar"/>
              </w:rPr>
              <w:br w:type="textWrapping"/>
            </w:r>
            <w:r>
              <w:rPr>
                <w:rStyle w:val="19"/>
                <w:color w:val="auto"/>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20"/>
                <w:szCs w:val="20"/>
                <w:u w:val="none"/>
              </w:rPr>
            </w:pPr>
            <w:r>
              <w:rPr>
                <w:rStyle w:val="19"/>
                <w:color w:val="auto"/>
                <w:lang w:val="en-US" w:eastAsia="zh-CN" w:bidi="ar"/>
              </w:rPr>
              <w:t>共青</w:t>
            </w:r>
            <w:r>
              <w:rPr>
                <w:rStyle w:val="20"/>
                <w:color w:val="auto"/>
                <w:lang w:val="en-US" w:eastAsia="zh-CN" w:bidi="ar"/>
              </w:rPr>
              <w:t>团色尼区委员会</w:t>
            </w:r>
          </w:p>
        </w:tc>
        <w:tc>
          <w:tcPr>
            <w:tcW w:w="1783"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1783"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3334" w:type="dxa"/>
            <w:gridSpan w:val="5"/>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20"/>
                <w:szCs w:val="20"/>
                <w:u w:val="none"/>
              </w:rPr>
            </w:pPr>
            <w:r>
              <w:rPr>
                <w:rStyle w:val="19"/>
                <w:color w:val="auto"/>
                <w:lang w:val="en-US" w:eastAsia="zh-CN" w:bidi="ar"/>
              </w:rPr>
              <w:t>填报日期：</w:t>
            </w:r>
            <w:r>
              <w:rPr>
                <w:rStyle w:val="20"/>
                <w:color w:val="auto"/>
                <w:lang w:val="en-US" w:eastAsia="zh-CN" w:bidi="ar"/>
              </w:rPr>
              <w:t>2024.12.28</w:t>
            </w:r>
          </w:p>
        </w:tc>
        <w:tc>
          <w:tcPr>
            <w:tcW w:w="1045"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1740"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项目名称</w:t>
            </w:r>
          </w:p>
        </w:tc>
        <w:tc>
          <w:tcPr>
            <w:tcW w:w="968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少先队工作经费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主管部门</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共青团色尼区委员会</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实施单位</w:t>
            </w:r>
          </w:p>
        </w:tc>
        <w:tc>
          <w:tcPr>
            <w:tcW w:w="495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共青团色尼区委员会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项目属性</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延续项目</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项目期</w:t>
            </w:r>
          </w:p>
        </w:tc>
        <w:tc>
          <w:tcPr>
            <w:tcW w:w="495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435" w:hRule="atLeast"/>
        </w:trPr>
        <w:tc>
          <w:tcPr>
            <w:tcW w:w="372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项目资金 (万元)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年初预算数</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全年预算数</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全年执行数</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值</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 xml:space="preserve">执行率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年度资金总额：</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其中：当年财政拨款</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上年结转资金</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1"/>
                <w:color w:val="auto"/>
                <w:lang w:val="en-US" w:eastAsia="zh-CN" w:bidi="ar"/>
              </w:rPr>
              <w:t xml:space="preserve"> 其</w:t>
            </w:r>
            <w:r>
              <w:rPr>
                <w:rStyle w:val="22"/>
                <w:color w:val="auto"/>
                <w:lang w:val="en-US" w:eastAsia="zh-CN" w:bidi="ar"/>
              </w:rPr>
              <w:t>他资金</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0"/>
                <w:szCs w:val="10"/>
                <w:u w:val="none"/>
              </w:rPr>
            </w:pPr>
            <w:r>
              <w:rPr>
                <w:rFonts w:hint="default" w:ascii="Times New Roman" w:hAnsi="Times New Roman" w:eastAsia="宋体" w:cs="Times New Roman"/>
                <w:i w:val="0"/>
                <w:color w:val="auto"/>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51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Style w:val="19"/>
                <w:color w:val="auto"/>
                <w:lang w:val="en-US" w:eastAsia="zh-CN" w:bidi="ar"/>
              </w:rPr>
              <w:t>年度总</w:t>
            </w:r>
            <w:r>
              <w:rPr>
                <w:rStyle w:val="20"/>
                <w:color w:val="auto"/>
                <w:lang w:val="en-US" w:eastAsia="zh-CN" w:bidi="ar"/>
              </w:rPr>
              <w:t>体目标</w:t>
            </w:r>
          </w:p>
        </w:tc>
        <w:tc>
          <w:tcPr>
            <w:tcW w:w="62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预期目标</w:t>
            </w:r>
          </w:p>
        </w:tc>
        <w:tc>
          <w:tcPr>
            <w:tcW w:w="61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96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62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目标：发挥少先队组织团结教育少年的核心作用，提高色尼区少先队工作，加强各级少先队工作力量，强化少先队工作保障，组织开展好少先队活动。</w:t>
            </w:r>
          </w:p>
        </w:tc>
        <w:tc>
          <w:tcPr>
            <w:tcW w:w="61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目标：发挥少先队组织团结教育少年的核心作用，提高色尼区少先队工作，加强各级少先队工作力量，强化少先队工作保障，组织开展好少先队活动。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一级指标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三级指标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1"/>
                <w:color w:val="auto"/>
                <w:lang w:val="en-US" w:eastAsia="zh-CN" w:bidi="ar"/>
              </w:rPr>
              <w:t>年度</w:t>
            </w:r>
            <w:r>
              <w:rPr>
                <w:rStyle w:val="22"/>
                <w:color w:val="auto"/>
                <w:lang w:val="en-US" w:eastAsia="zh-CN" w:bidi="ar"/>
              </w:rPr>
              <w:t>指标值</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实际完成值</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值</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得</w:t>
            </w:r>
          </w:p>
        </w:tc>
        <w:tc>
          <w:tcPr>
            <w:tcW w:w="2785" w:type="dxa"/>
            <w:gridSpan w:val="2"/>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偏差原因析及改进措施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57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Fonts w:hint="eastAsia" w:ascii="MingLiU" w:hAnsi="MingLiU" w:eastAsia="MingLiU" w:cs="MingLiU"/>
                <w:i w:val="0"/>
                <w:color w:val="auto"/>
                <w:kern w:val="0"/>
                <w:sz w:val="20"/>
                <w:szCs w:val="20"/>
                <w:u w:val="none"/>
                <w:lang w:val="en-US" w:eastAsia="zh-CN" w:bidi="ar"/>
              </w:rPr>
              <w:t>产出指标(50）</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指标1：少先队员人数</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10274人</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10274人</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指标2：开展活动场次</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≤5次</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5次</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指标1：少先队辅导员培训覆盖度</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96%</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指标2：资金使用率（%)</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指标1：支付及时率%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成本指标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指标1：少先队工作经费成本总额（万元）</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Style w:val="22"/>
                <w:color w:val="auto"/>
                <w:lang w:val="en-US" w:eastAsia="zh-CN" w:bidi="ar"/>
              </w:rPr>
              <w:t>≤</w:t>
            </w:r>
            <w:r>
              <w:rPr>
                <w:rStyle w:val="21"/>
                <w:color w:val="auto"/>
                <w:lang w:val="en-US" w:eastAsia="zh-CN" w:bidi="ar"/>
              </w:rPr>
              <w:t>2.15万元</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2.15万元</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150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Fonts w:hint="eastAsia" w:ascii="MingLiU" w:hAnsi="MingLiU" w:eastAsia="MingLiU" w:cs="MingLiU"/>
                <w:i w:val="0"/>
                <w:color w:val="auto"/>
                <w:kern w:val="0"/>
                <w:sz w:val="20"/>
                <w:szCs w:val="20"/>
                <w:u w:val="none"/>
                <w:lang w:val="en-US" w:eastAsia="zh-CN" w:bidi="ar"/>
              </w:rPr>
              <w:t>效益指标(30）</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社会效益</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指标1：开展少先队工作，提升“奉献、友爱、互助、进步”精神。</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有效减轻</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有效提高</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150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可持续影响</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指标1：持续加强少先队员思想政治教育，引领少先队员坚定理想信念。</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持续加强</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1"/>
                <w:color w:val="auto"/>
                <w:lang w:val="en-US" w:eastAsia="zh-CN" w:bidi="ar"/>
              </w:rPr>
              <w:t>持</w:t>
            </w:r>
            <w:r>
              <w:rPr>
                <w:rStyle w:val="22"/>
                <w:color w:val="auto"/>
                <w:lang w:val="en-US" w:eastAsia="zh-CN" w:bidi="ar"/>
              </w:rPr>
              <w:t>续</w:t>
            </w:r>
            <w:r>
              <w:rPr>
                <w:rStyle w:val="21"/>
                <w:color w:val="auto"/>
                <w:lang w:val="en-US" w:eastAsia="zh-CN" w:bidi="ar"/>
              </w:rPr>
              <w:t>加</w:t>
            </w:r>
            <w:r>
              <w:rPr>
                <w:rStyle w:val="22"/>
                <w:color w:val="auto"/>
                <w:lang w:val="en-US" w:eastAsia="zh-CN" w:bidi="ar"/>
              </w:rPr>
              <w:t>强</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04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150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指标2：持续维护国家经济秩序</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持续提升</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持续提高</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96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满意度指标（10）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18"/>
                <w:szCs w:val="18"/>
                <w:u w:val="none"/>
              </w:rPr>
            </w:pPr>
            <w:r>
              <w:rPr>
                <w:rStyle w:val="21"/>
                <w:color w:val="auto"/>
                <w:lang w:val="en-US" w:eastAsia="zh-CN" w:bidi="ar"/>
              </w:rPr>
              <w:t>服务对象满意度指</w:t>
            </w:r>
            <w:r>
              <w:rPr>
                <w:rStyle w:val="22"/>
                <w:color w:val="auto"/>
                <w:lang w:val="en-US" w:eastAsia="zh-CN" w:bidi="ar"/>
              </w:rPr>
              <w:t>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指标1：色尼区少先队员满意度</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285" w:hRule="atLeast"/>
        </w:trPr>
        <w:tc>
          <w:tcPr>
            <w:tcW w:w="8456" w:type="dxa"/>
            <w:gridSpan w:val="6"/>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总分</w:t>
            </w:r>
          </w:p>
        </w:tc>
        <w:tc>
          <w:tcPr>
            <w:tcW w:w="1006" w:type="dxa"/>
            <w:gridSpan w:val="2"/>
            <w:tcBorders>
              <w:top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41" w:type="dxa"/>
          <w:trHeight w:val="570"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自评结论</w:t>
            </w:r>
          </w:p>
        </w:tc>
        <w:tc>
          <w:tcPr>
            <w:tcW w:w="1783"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优</w:t>
            </w:r>
          </w:p>
        </w:tc>
        <w:tc>
          <w:tcPr>
            <w:tcW w:w="7902"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总高于90（含）的结论为“优”，90～80（含）为“良”，80～60（含）为“中”，低于60为“差”。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45" w:type="dxa"/>
            <w:shd w:val="clear"/>
            <w:vAlign w:val="center"/>
          </w:tcPr>
          <w:p>
            <w:pPr>
              <w:jc w:val="left"/>
              <w:rPr>
                <w:rFonts w:hint="eastAsia" w:ascii="黑体" w:hAnsi="宋体" w:eastAsia="黑体" w:cs="黑体"/>
                <w:i w:val="0"/>
                <w:color w:val="auto"/>
                <w:sz w:val="28"/>
                <w:szCs w:val="28"/>
                <w:u w:val="none"/>
              </w:rPr>
            </w:pPr>
          </w:p>
        </w:tc>
        <w:tc>
          <w:tcPr>
            <w:tcW w:w="1045" w:type="dxa"/>
            <w:shd w:val="clear"/>
            <w:vAlign w:val="center"/>
          </w:tcPr>
          <w:p>
            <w:pPr>
              <w:rPr>
                <w:rFonts w:hint="eastAsia" w:ascii="黑体" w:hAnsi="宋体" w:eastAsia="黑体" w:cs="黑体"/>
                <w:i w:val="0"/>
                <w:color w:val="auto"/>
                <w:sz w:val="32"/>
                <w:szCs w:val="32"/>
                <w:u w:val="none"/>
              </w:rPr>
            </w:pPr>
          </w:p>
        </w:tc>
        <w:tc>
          <w:tcPr>
            <w:tcW w:w="1639" w:type="dxa"/>
            <w:shd w:val="clear"/>
            <w:vAlign w:val="center"/>
          </w:tcPr>
          <w:p>
            <w:pPr>
              <w:rPr>
                <w:rFonts w:hint="eastAsia" w:ascii="黑体" w:hAnsi="宋体" w:eastAsia="黑体" w:cs="黑体"/>
                <w:i w:val="0"/>
                <w:color w:val="auto"/>
                <w:sz w:val="32"/>
                <w:szCs w:val="32"/>
                <w:u w:val="none"/>
              </w:rPr>
            </w:pPr>
          </w:p>
        </w:tc>
        <w:tc>
          <w:tcPr>
            <w:tcW w:w="1783" w:type="dxa"/>
            <w:shd w:val="clear"/>
            <w:vAlign w:val="center"/>
          </w:tcPr>
          <w:p>
            <w:pPr>
              <w:rPr>
                <w:rFonts w:hint="eastAsia" w:ascii="黑体" w:hAnsi="宋体" w:eastAsia="黑体" w:cs="黑体"/>
                <w:i w:val="0"/>
                <w:color w:val="auto"/>
                <w:sz w:val="32"/>
                <w:szCs w:val="32"/>
                <w:u w:val="none"/>
              </w:rPr>
            </w:pPr>
          </w:p>
        </w:tc>
        <w:tc>
          <w:tcPr>
            <w:tcW w:w="1783" w:type="dxa"/>
            <w:shd w:val="clear"/>
            <w:vAlign w:val="center"/>
          </w:tcPr>
          <w:p>
            <w:pPr>
              <w:rPr>
                <w:rFonts w:hint="eastAsia" w:ascii="黑体" w:hAnsi="宋体" w:eastAsia="黑体" w:cs="黑体"/>
                <w:i w:val="0"/>
                <w:color w:val="auto"/>
                <w:sz w:val="32"/>
                <w:szCs w:val="32"/>
                <w:u w:val="none"/>
              </w:rPr>
            </w:pPr>
          </w:p>
        </w:tc>
        <w:tc>
          <w:tcPr>
            <w:tcW w:w="1167" w:type="dxa"/>
            <w:gridSpan w:val="2"/>
            <w:shd w:val="clear"/>
            <w:vAlign w:val="center"/>
          </w:tcPr>
          <w:p>
            <w:pPr>
              <w:rPr>
                <w:rFonts w:hint="eastAsia" w:ascii="黑体" w:hAnsi="宋体" w:eastAsia="黑体" w:cs="黑体"/>
                <w:i w:val="0"/>
                <w:color w:val="auto"/>
                <w:sz w:val="32"/>
                <w:szCs w:val="32"/>
                <w:u w:val="none"/>
              </w:rPr>
            </w:pPr>
          </w:p>
        </w:tc>
        <w:tc>
          <w:tcPr>
            <w:tcW w:w="1006" w:type="dxa"/>
            <w:gridSpan w:val="2"/>
            <w:shd w:val="clear"/>
            <w:vAlign w:val="center"/>
          </w:tcPr>
          <w:p>
            <w:pPr>
              <w:rPr>
                <w:rFonts w:hint="eastAsia" w:ascii="黑体" w:hAnsi="宋体" w:eastAsia="黑体" w:cs="黑体"/>
                <w:i w:val="0"/>
                <w:color w:val="auto"/>
                <w:sz w:val="32"/>
                <w:szCs w:val="32"/>
                <w:u w:val="none"/>
              </w:rPr>
            </w:pPr>
          </w:p>
        </w:tc>
        <w:tc>
          <w:tcPr>
            <w:tcW w:w="1161" w:type="dxa"/>
            <w:shd w:val="clear"/>
            <w:vAlign w:val="center"/>
          </w:tcPr>
          <w:p>
            <w:pPr>
              <w:rPr>
                <w:rFonts w:hint="eastAsia" w:ascii="黑体" w:hAnsi="宋体" w:eastAsia="黑体" w:cs="黑体"/>
                <w:i w:val="0"/>
                <w:color w:val="auto"/>
                <w:sz w:val="32"/>
                <w:szCs w:val="32"/>
                <w:u w:val="none"/>
              </w:rPr>
            </w:pPr>
          </w:p>
        </w:tc>
        <w:tc>
          <w:tcPr>
            <w:tcW w:w="1045" w:type="dxa"/>
            <w:shd w:val="clear"/>
            <w:vAlign w:val="center"/>
          </w:tcPr>
          <w:p>
            <w:pPr>
              <w:rPr>
                <w:rFonts w:hint="eastAsia" w:ascii="黑体" w:hAnsi="宋体" w:eastAsia="黑体" w:cs="黑体"/>
                <w:i w:val="0"/>
                <w:color w:val="auto"/>
                <w:sz w:val="32"/>
                <w:szCs w:val="32"/>
                <w:u w:val="none"/>
              </w:rPr>
            </w:pPr>
          </w:p>
        </w:tc>
        <w:tc>
          <w:tcPr>
            <w:tcW w:w="1740" w:type="dxa"/>
            <w:shd w:val="clear"/>
            <w:vAlign w:val="center"/>
          </w:tcPr>
          <w:p>
            <w:pPr>
              <w:rPr>
                <w:rFonts w:hint="eastAsia" w:ascii="黑体" w:hAnsi="宋体" w:eastAsia="黑体" w:cs="黑体"/>
                <w:i w:val="0"/>
                <w:color w:val="auto"/>
                <w:sz w:val="32"/>
                <w:szCs w:val="32"/>
                <w:u w:val="none"/>
              </w:rPr>
            </w:pPr>
          </w:p>
        </w:tc>
        <w:tc>
          <w:tcPr>
            <w:tcW w:w="641" w:type="dxa"/>
            <w:shd w:val="clear"/>
            <w:vAlign w:val="center"/>
          </w:tcPr>
          <w:p>
            <w:pPr>
              <w:rPr>
                <w:rFonts w:hint="eastAsia" w:ascii="黑体" w:hAnsi="宋体" w:eastAsia="黑体" w:cs="黑体"/>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3414" w:type="dxa"/>
            <w:gridSpan w:val="12"/>
            <w:shd w:val="clear" w:color="auto" w:fill="FFFFFF"/>
            <w:vAlign w:val="center"/>
          </w:tcPr>
          <w:p>
            <w:pPr>
              <w:keepNext w:val="0"/>
              <w:keepLines w:val="0"/>
              <w:widowControl/>
              <w:suppressLineNumbers w:val="0"/>
              <w:jc w:val="center"/>
              <w:textAlignment w:val="center"/>
              <w:rPr>
                <w:rFonts w:ascii="MingLiU" w:hAnsi="MingLiU" w:eastAsia="MingLiU" w:cs="MingLiU"/>
                <w:i w:val="0"/>
                <w:color w:val="auto"/>
                <w:sz w:val="28"/>
                <w:szCs w:val="28"/>
                <w:u w:val="none"/>
              </w:rPr>
            </w:pPr>
            <w:r>
              <w:rPr>
                <w:rStyle w:val="23"/>
                <w:color w:val="auto"/>
                <w:lang w:val="en-US" w:eastAsia="zh-CN" w:bidi="ar"/>
              </w:rPr>
              <w:t>那曲市色尼区项目支出绩效自评表</w:t>
            </w:r>
            <w:r>
              <w:rPr>
                <w:rStyle w:val="23"/>
                <w:color w:val="auto"/>
                <w:lang w:val="en-US" w:eastAsia="zh-CN" w:bidi="ar"/>
              </w:rPr>
              <w:br w:type="textWrapping"/>
            </w:r>
            <w:r>
              <w:rPr>
                <w:rStyle w:val="24"/>
                <w:color w:val="auto"/>
                <w:lang w:val="en-US" w:eastAsia="zh-CN" w:bidi="ar"/>
              </w:rPr>
              <w:t>(2024年度）</w:t>
            </w:r>
          </w:p>
        </w:tc>
        <w:tc>
          <w:tcPr>
            <w:tcW w:w="641" w:type="dxa"/>
            <w:shd w:val="clear"/>
            <w:vAlign w:val="center"/>
          </w:tcPr>
          <w:p>
            <w:pPr>
              <w:rPr>
                <w:rFonts w:hint="eastAsia" w:ascii="黑体" w:hAnsi="宋体" w:eastAsia="黑体" w:cs="黑体"/>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20"/>
                <w:szCs w:val="20"/>
                <w:u w:val="none"/>
              </w:rPr>
            </w:pPr>
            <w:r>
              <w:rPr>
                <w:rStyle w:val="24"/>
                <w:color w:val="auto"/>
                <w:lang w:val="en-US" w:eastAsia="zh-CN" w:bidi="ar"/>
              </w:rPr>
              <w:t>共青</w:t>
            </w:r>
            <w:r>
              <w:rPr>
                <w:rStyle w:val="25"/>
                <w:color w:val="auto"/>
                <w:lang w:val="en-US" w:eastAsia="zh-CN" w:bidi="ar"/>
              </w:rPr>
              <w:t>团色尼区委员会</w:t>
            </w:r>
          </w:p>
        </w:tc>
        <w:tc>
          <w:tcPr>
            <w:tcW w:w="1783"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1783"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3334" w:type="dxa"/>
            <w:gridSpan w:val="5"/>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20"/>
                <w:szCs w:val="20"/>
                <w:u w:val="none"/>
              </w:rPr>
            </w:pPr>
            <w:r>
              <w:rPr>
                <w:rStyle w:val="24"/>
                <w:color w:val="auto"/>
                <w:lang w:val="en-US" w:eastAsia="zh-CN" w:bidi="ar"/>
              </w:rPr>
              <w:t>填报日期：</w:t>
            </w:r>
            <w:r>
              <w:rPr>
                <w:rStyle w:val="25"/>
                <w:color w:val="auto"/>
                <w:lang w:val="en-US" w:eastAsia="zh-CN" w:bidi="ar"/>
              </w:rPr>
              <w:t>2024.12.28</w:t>
            </w:r>
          </w:p>
        </w:tc>
        <w:tc>
          <w:tcPr>
            <w:tcW w:w="1045"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1740" w:type="dxa"/>
            <w:tcBorders>
              <w:bottom w:val="single" w:color="000000" w:sz="4" w:space="0"/>
            </w:tcBorders>
            <w:shd w:val="clear" w:color="auto" w:fill="FFFFFF"/>
            <w:vAlign w:val="center"/>
          </w:tcPr>
          <w:p>
            <w:pPr>
              <w:jc w:val="center"/>
              <w:rPr>
                <w:rFonts w:hint="eastAsia" w:ascii="MingLiU" w:hAnsi="MingLiU" w:eastAsia="MingLiU" w:cs="MingLiU"/>
                <w:i w:val="0"/>
                <w:color w:val="auto"/>
                <w:sz w:val="28"/>
                <w:szCs w:val="28"/>
                <w:u w:val="none"/>
              </w:rPr>
            </w:pP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项目名称</w:t>
            </w:r>
          </w:p>
        </w:tc>
        <w:tc>
          <w:tcPr>
            <w:tcW w:w="968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团委工作经费</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主管部门</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共青团色尼区委员会</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实施单位</w:t>
            </w: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共青团色尼区委员会</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项目属性</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延续项目</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项目期</w:t>
            </w: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1年</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72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项目资金 (万元)</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年初预算数</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全年预算数</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全年执行数</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值</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 xml:space="preserve">执行率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得</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年度资金总额：</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其中：当年财政拨款</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5</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上年结转资金</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7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6"/>
                <w:color w:val="auto"/>
                <w:lang w:val="en-US" w:eastAsia="zh-CN" w:bidi="ar"/>
              </w:rPr>
              <w:t xml:space="preserve"> 其</w:t>
            </w:r>
            <w:r>
              <w:rPr>
                <w:rStyle w:val="27"/>
                <w:color w:val="auto"/>
                <w:lang w:val="en-US" w:eastAsia="zh-CN" w:bidi="ar"/>
              </w:rPr>
              <w:t>他资金</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auto"/>
                <w:sz w:val="10"/>
                <w:szCs w:val="1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0"/>
                <w:szCs w:val="10"/>
                <w:u w:val="none"/>
              </w:rPr>
            </w:pPr>
            <w:r>
              <w:rPr>
                <w:rFonts w:hint="default" w:ascii="Times New Roman" w:hAnsi="Times New Roman" w:eastAsia="宋体" w:cs="Times New Roman"/>
                <w:i w:val="0"/>
                <w:color w:val="auto"/>
                <w:kern w:val="0"/>
                <w:sz w:val="10"/>
                <w:szCs w:val="10"/>
                <w:u w:val="none"/>
                <w:lang w:val="en-US" w:eastAsia="zh-CN" w:bidi="ar"/>
              </w:rPr>
              <w:t>-</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Style w:val="24"/>
                <w:color w:val="auto"/>
                <w:lang w:val="en-US" w:eastAsia="zh-CN" w:bidi="ar"/>
              </w:rPr>
              <w:t>年度总</w:t>
            </w:r>
            <w:r>
              <w:rPr>
                <w:rStyle w:val="25"/>
                <w:color w:val="auto"/>
                <w:lang w:val="en-US" w:eastAsia="zh-CN" w:bidi="ar"/>
              </w:rPr>
              <w:t>体目标</w:t>
            </w:r>
          </w:p>
        </w:tc>
        <w:tc>
          <w:tcPr>
            <w:tcW w:w="62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预期目标</w:t>
            </w:r>
          </w:p>
        </w:tc>
        <w:tc>
          <w:tcPr>
            <w:tcW w:w="61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实际完成情况</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62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180" w:afterAutospacing="0"/>
              <w:jc w:val="center"/>
              <w:textAlignment w:val="center"/>
              <w:rPr>
                <w:rFonts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目标：密切联系青年、充分发挥共青团的生力军和突击队作用。抓好党建带团建工作，强化团的组织建设。</w:t>
            </w:r>
          </w:p>
        </w:tc>
        <w:tc>
          <w:tcPr>
            <w:tcW w:w="61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180" w:afterAutospacing="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目标：密切联系青年、充分发挥共青团的生力军和突击队作用。抓好党建带团建工作，强化团的组织建设。</w:t>
            </w: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一级指标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三级指标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6"/>
                <w:color w:val="auto"/>
                <w:lang w:val="en-US" w:eastAsia="zh-CN" w:bidi="ar"/>
              </w:rPr>
              <w:t>年度</w:t>
            </w:r>
            <w:r>
              <w:rPr>
                <w:rStyle w:val="27"/>
                <w:color w:val="auto"/>
                <w:lang w:val="en-US" w:eastAsia="zh-CN" w:bidi="ar"/>
              </w:rPr>
              <w:t>指标值</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实际完成值</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值</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得</w:t>
            </w:r>
          </w:p>
        </w:tc>
        <w:tc>
          <w:tcPr>
            <w:tcW w:w="2785" w:type="dxa"/>
            <w:gridSpan w:val="2"/>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偏差原因析及改进措施</w:t>
            </w: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Fonts w:hint="eastAsia" w:ascii="MingLiU" w:hAnsi="MingLiU" w:eastAsia="MingLiU" w:cs="MingLiU"/>
                <w:i w:val="0"/>
                <w:color w:val="auto"/>
                <w:kern w:val="0"/>
                <w:sz w:val="20"/>
                <w:szCs w:val="20"/>
                <w:u w:val="none"/>
                <w:lang w:val="en-US" w:eastAsia="zh-CN" w:bidi="ar"/>
              </w:rPr>
              <w:t>产出指标(50）</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指标1：色尼区团员人数</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2057人</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2057人</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指标2：开展志愿者服务活动次数</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5次</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5次</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指标3：提交活动简报数量</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3份</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3份</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04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指标4：组织“青年大学习”集中学习次数</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90次</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u w:val="none"/>
              </w:rPr>
            </w:pPr>
            <w:r>
              <w:rPr>
                <w:rFonts w:hint="eastAsia" w:ascii="微软雅黑" w:hAnsi="微软雅黑" w:eastAsia="微软雅黑" w:cs="微软雅黑"/>
                <w:i w:val="0"/>
                <w:color w:val="auto"/>
                <w:kern w:val="0"/>
                <w:sz w:val="18"/>
                <w:szCs w:val="18"/>
                <w:u w:val="none"/>
                <w:lang w:val="en-US" w:eastAsia="zh-CN" w:bidi="ar"/>
              </w:rPr>
              <w:t>90次</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04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指标1：团员开展活动覆盖度</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96%</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96%</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指标2：宣传内容知晓率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96%</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96%</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4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MingLiU" w:hAnsi="MingLiU" w:eastAsia="MingLiU" w:cs="MingLiU"/>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指标3：支付保障率%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指标1：支付及时率%</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成本指标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指标1：团委工作经费成本总额（万元）</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Style w:val="27"/>
                <w:color w:val="auto"/>
                <w:lang w:val="en-US" w:eastAsia="zh-CN" w:bidi="ar"/>
              </w:rPr>
              <w:t>≤</w:t>
            </w:r>
            <w:r>
              <w:rPr>
                <w:rStyle w:val="26"/>
                <w:color w:val="auto"/>
                <w:lang w:val="en-US" w:eastAsia="zh-CN" w:bidi="ar"/>
              </w:rPr>
              <w:t>5万元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100.00%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MingLiU" w:hAnsi="MingLiU" w:eastAsia="MingLiU" w:cs="MingLiU"/>
                <w:i w:val="0"/>
                <w:color w:val="auto"/>
                <w:sz w:val="20"/>
                <w:szCs w:val="20"/>
                <w:u w:val="none"/>
              </w:rPr>
            </w:pPr>
            <w:r>
              <w:rPr>
                <w:rFonts w:hint="eastAsia" w:ascii="MingLiU" w:hAnsi="MingLiU" w:eastAsia="MingLiU" w:cs="MingLiU"/>
                <w:i w:val="0"/>
                <w:color w:val="auto"/>
                <w:kern w:val="0"/>
                <w:sz w:val="20"/>
                <w:szCs w:val="20"/>
                <w:u w:val="none"/>
                <w:lang w:val="en-US" w:eastAsia="zh-CN" w:bidi="ar"/>
              </w:rPr>
              <w:t>效益指标(30）</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社会效益</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指标1：开展志愿服务，提升“奉献、友爱、互助、进步”精神。</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有效提升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Fonts w:hint="eastAsia" w:ascii="MingLiU" w:hAnsi="MingLiU" w:eastAsia="MingLiU" w:cs="MingLiU"/>
                <w:i w:val="0"/>
                <w:color w:val="auto"/>
                <w:kern w:val="0"/>
                <w:sz w:val="18"/>
                <w:szCs w:val="18"/>
                <w:u w:val="none"/>
                <w:lang w:val="en-US" w:eastAsia="zh-CN" w:bidi="ar"/>
              </w:rPr>
              <w:t>有效提高</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可持续影响</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指标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指标1：持续加强青年思想政治教育，引领广大青年坚定理想信念。</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持续加强</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6"/>
                <w:color w:val="auto"/>
                <w:lang w:val="en-US" w:eastAsia="zh-CN" w:bidi="ar"/>
              </w:rPr>
              <w:t>持</w:t>
            </w:r>
            <w:r>
              <w:rPr>
                <w:rStyle w:val="27"/>
                <w:color w:val="auto"/>
                <w:lang w:val="en-US" w:eastAsia="zh-CN" w:bidi="ar"/>
              </w:rPr>
              <w:t>续</w:t>
            </w:r>
            <w:r>
              <w:rPr>
                <w:rStyle w:val="26"/>
                <w:color w:val="auto"/>
                <w:lang w:val="en-US" w:eastAsia="zh-CN" w:bidi="ar"/>
              </w:rPr>
              <w:t>加</w:t>
            </w:r>
            <w:r>
              <w:rPr>
                <w:rStyle w:val="27"/>
                <w:color w:val="auto"/>
                <w:lang w:val="en-US" w:eastAsia="zh-CN" w:bidi="ar"/>
              </w:rPr>
              <w:t>强</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04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MingLiU" w:hAnsi="MingLiU" w:eastAsia="MingLiU" w:cs="MingLiU"/>
                <w:i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指标2：持续维护国家经济秩序</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持续提升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MingLiU" w:hAnsi="MingLiU" w:eastAsia="MingLiU" w:cs="MingLiU"/>
                <w:i w:val="0"/>
                <w:color w:val="auto"/>
                <w:sz w:val="18"/>
                <w:szCs w:val="18"/>
                <w:u w:val="none"/>
              </w:rPr>
            </w:pPr>
            <w:r>
              <w:rPr>
                <w:rStyle w:val="26"/>
                <w:color w:val="auto"/>
                <w:lang w:val="en-US" w:eastAsia="zh-CN" w:bidi="ar"/>
              </w:rPr>
              <w:t>持</w:t>
            </w:r>
            <w:r>
              <w:rPr>
                <w:rStyle w:val="27"/>
                <w:color w:val="auto"/>
                <w:lang w:val="en-US" w:eastAsia="zh-CN" w:bidi="ar"/>
              </w:rPr>
              <w:t>续</w:t>
            </w:r>
            <w:r>
              <w:rPr>
                <w:rStyle w:val="26"/>
                <w:color w:val="auto"/>
                <w:lang w:val="en-US" w:eastAsia="zh-CN" w:bidi="ar"/>
              </w:rPr>
              <w:t>加</w:t>
            </w:r>
            <w:r>
              <w:rPr>
                <w:rStyle w:val="27"/>
                <w:color w:val="auto"/>
                <w:lang w:val="en-US" w:eastAsia="zh-CN" w:bidi="ar"/>
              </w:rPr>
              <w:t>强</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满意度指标（10）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MingLiU" w:hAnsi="MingLiU" w:eastAsia="MingLiU" w:cs="MingLiU"/>
                <w:i w:val="0"/>
                <w:color w:val="auto"/>
                <w:sz w:val="18"/>
                <w:szCs w:val="18"/>
                <w:u w:val="none"/>
              </w:rPr>
            </w:pPr>
            <w:r>
              <w:rPr>
                <w:rStyle w:val="26"/>
                <w:color w:val="auto"/>
                <w:lang w:val="en-US" w:eastAsia="zh-CN" w:bidi="ar"/>
              </w:rPr>
              <w:t>服务对象满意度指</w:t>
            </w:r>
            <w:r>
              <w:rPr>
                <w:rStyle w:val="27"/>
                <w:color w:val="auto"/>
                <w:lang w:val="en-US" w:eastAsia="zh-CN" w:bidi="ar"/>
              </w:rPr>
              <w:t>标</w:t>
            </w:r>
          </w:p>
        </w:tc>
        <w:tc>
          <w:tcPr>
            <w:tcW w:w="16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指标1：色尼区团员对活动的满意度</w:t>
            </w:r>
          </w:p>
        </w:tc>
        <w:tc>
          <w:tcPr>
            <w:tcW w:w="35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95%</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10</w:t>
            </w:r>
          </w:p>
        </w:tc>
        <w:tc>
          <w:tcPr>
            <w:tcW w:w="2785" w:type="dxa"/>
            <w:gridSpan w:val="2"/>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20"/>
                <w:szCs w:val="20"/>
                <w:u w:val="none"/>
              </w:rPr>
            </w:pPr>
          </w:p>
        </w:tc>
        <w:tc>
          <w:tcPr>
            <w:tcW w:w="641" w:type="dxa"/>
            <w:shd w:val="cle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2" w:type="dxa"/>
            <w:gridSpan w:val="7"/>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总分</w:t>
            </w:r>
          </w:p>
        </w:tc>
        <w:tc>
          <w:tcPr>
            <w:tcW w:w="1006" w:type="dxa"/>
            <w:gridSpan w:val="2"/>
            <w:tcBorders>
              <w:top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4"/>
                <w:szCs w:val="24"/>
                <w:u w:val="none"/>
              </w:rPr>
            </w:pPr>
          </w:p>
        </w:tc>
        <w:tc>
          <w:tcPr>
            <w:tcW w:w="641" w:type="dxa"/>
            <w:shd w:val="cle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372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自评结论</w:t>
            </w:r>
          </w:p>
        </w:tc>
        <w:tc>
          <w:tcPr>
            <w:tcW w:w="1783"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优</w:t>
            </w:r>
          </w:p>
        </w:tc>
        <w:tc>
          <w:tcPr>
            <w:tcW w:w="7902"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18"/>
                <w:szCs w:val="18"/>
                <w:u w:val="none"/>
              </w:rPr>
            </w:pPr>
            <w:r>
              <w:rPr>
                <w:rFonts w:hint="eastAsia" w:ascii="方正仿宋简体" w:hAnsi="方正仿宋简体" w:eastAsia="方正仿宋简体" w:cs="方正仿宋简体"/>
                <w:i w:val="0"/>
                <w:color w:val="auto"/>
                <w:kern w:val="0"/>
                <w:sz w:val="18"/>
                <w:szCs w:val="18"/>
                <w:u w:val="none"/>
                <w:lang w:val="en-US" w:eastAsia="zh-CN" w:bidi="ar"/>
              </w:rPr>
              <w:t>总高于90（含）的结论为“优”，90～80（含）为“良”，80～60（含）为“中”，低于60为“差”。</w:t>
            </w:r>
          </w:p>
        </w:tc>
        <w:tc>
          <w:tcPr>
            <w:tcW w:w="641" w:type="dxa"/>
            <w:shd w:val="clear"/>
            <w:vAlign w:val="center"/>
          </w:tcPr>
          <w:p>
            <w:pPr>
              <w:rPr>
                <w:rFonts w:hint="eastAsia" w:ascii="宋体" w:hAnsi="宋体" w:eastAsia="宋体" w:cs="宋体"/>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eastAsia="仿宋_GB2312"/>
          <w:color w:val="auto"/>
          <w:sz w:val="32"/>
          <w:szCs w:val="32"/>
          <w:lang w:val="en-US"/>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27.15</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18.61</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69</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少工委工作经费按照项目绩效目标要求完成年底绩效考核</w:t>
      </w:r>
      <w:r>
        <w:rPr>
          <w:rFonts w:hint="eastAsia" w:ascii="仿宋_GB2312" w:eastAsia="仿宋_GB2312"/>
          <w:color w:val="auto"/>
          <w:sz w:val="32"/>
          <w:szCs w:val="32"/>
        </w:rPr>
        <w:t>；二是</w:t>
      </w:r>
      <w:r>
        <w:rPr>
          <w:rFonts w:hint="eastAsia" w:ascii="仿宋_GB2312" w:eastAsia="仿宋_GB2312"/>
          <w:color w:val="auto"/>
          <w:sz w:val="32"/>
          <w:szCs w:val="32"/>
          <w:lang w:eastAsia="zh-CN"/>
        </w:rPr>
        <w:t>团委工作经费也是按照项目绩效目标要求完成年底绩效考核</w:t>
      </w:r>
      <w:r>
        <w:rPr>
          <w:rFonts w:hint="eastAsia" w:ascii="仿宋_GB2312" w:eastAsia="仿宋_GB2312"/>
          <w:color w:val="auto"/>
          <w:sz w:val="32"/>
          <w:szCs w:val="32"/>
        </w:rPr>
        <w:t>。发现的主要问题及原因：一是</w:t>
      </w:r>
      <w:r>
        <w:rPr>
          <w:rFonts w:hint="eastAsia" w:ascii="仿宋_GB2312" w:eastAsia="仿宋_GB2312"/>
          <w:color w:val="auto"/>
          <w:sz w:val="32"/>
          <w:szCs w:val="32"/>
          <w:lang w:eastAsia="zh-CN"/>
        </w:rPr>
        <w:t>西部志愿者工作经费按时间节点未达到执行进度，主要原因年初预算不科学，本年开展的西部志愿者各项活动所产生的费用减少。</w:t>
      </w:r>
      <w:r>
        <w:rPr>
          <w:rFonts w:hint="eastAsia" w:ascii="仿宋_GB2312" w:eastAsia="仿宋_GB2312"/>
          <w:color w:val="auto"/>
          <w:sz w:val="32"/>
          <w:szCs w:val="32"/>
        </w:rPr>
        <w:t>下一步改进措施：</w:t>
      </w:r>
      <w:r>
        <w:rPr>
          <w:rFonts w:hint="eastAsia" w:ascii="仿宋_GB2312" w:eastAsia="仿宋_GB2312"/>
          <w:color w:val="auto"/>
          <w:sz w:val="32"/>
          <w:szCs w:val="32"/>
          <w:lang w:eastAsia="zh-CN"/>
        </w:rPr>
        <w:t>年初精准编制预算，确保按时间节点要求完成预算执行进度</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23598_WPSOffice_Level2"/>
      <w:bookmarkStart w:id="100" w:name="_Toc15565_WPSOffice_Level2"/>
      <w:bookmarkStart w:id="101" w:name="_Toc15262_WPSOffice_Level2"/>
      <w:bookmarkStart w:id="102" w:name="_Toc18325_WPSOffice_Level2"/>
      <w:bookmarkStart w:id="103" w:name="_Toc32639_WPSOffice_Level2"/>
      <w:bookmarkStart w:id="104" w:name="_Toc5978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本</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3.6</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w:t>
      </w:r>
      <w:r>
        <w:rPr>
          <w:rFonts w:hint="eastAsia" w:ascii="仿宋_GB2312" w:hAnsi="ˎ̥" w:eastAsia="仿宋_GB2312"/>
          <w:color w:val="auto"/>
          <w:sz w:val="32"/>
          <w:szCs w:val="32"/>
          <w:lang w:eastAsia="zh-CN"/>
        </w:rPr>
        <w:t>数</w:t>
      </w:r>
      <w:r>
        <w:rPr>
          <w:rFonts w:hint="eastAsia" w:ascii="仿宋_GB2312" w:hAnsi="ˎ̥" w:eastAsia="仿宋_GB2312"/>
          <w:color w:val="auto"/>
          <w:sz w:val="32"/>
          <w:szCs w:val="32"/>
          <w:lang w:val="en-US" w:eastAsia="zh-CN"/>
        </w:rPr>
        <w:t>3.6</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5.03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下降28%。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一是</w:t>
      </w:r>
      <w:r>
        <w:rPr>
          <w:rFonts w:hint="eastAsia" w:ascii="仿宋_GB2312" w:hAnsi="ˎ̥" w:eastAsia="仿宋_GB2312"/>
          <w:color w:val="auto"/>
          <w:sz w:val="32"/>
          <w:szCs w:val="32"/>
          <w:lang w:bidi="ar"/>
        </w:rPr>
        <w:t>办公设施设备购置经费减少</w:t>
      </w:r>
      <w:r>
        <w:rPr>
          <w:rFonts w:hint="eastAsia" w:ascii="仿宋_GB2312" w:hAnsi="ˎ̥" w:eastAsia="仿宋_GB2312"/>
          <w:color w:val="auto"/>
          <w:sz w:val="32"/>
          <w:szCs w:val="32"/>
          <w:lang w:eastAsia="zh-CN" w:bidi="ar"/>
        </w:rPr>
        <w:t>，二是</w:t>
      </w:r>
      <w:r>
        <w:rPr>
          <w:rFonts w:hint="eastAsia" w:ascii="仿宋_GB2312" w:hAnsi="ˎ̥" w:eastAsia="仿宋_GB2312"/>
          <w:color w:val="auto"/>
          <w:sz w:val="32"/>
          <w:szCs w:val="32"/>
          <w:lang w:bidi="ar"/>
        </w:rPr>
        <w:t>资产运行维护支出</w:t>
      </w:r>
      <w:r>
        <w:rPr>
          <w:rFonts w:hint="eastAsia" w:ascii="仿宋_GB2312" w:hAnsi="ˎ̥" w:eastAsia="仿宋_GB2312"/>
          <w:color w:val="auto"/>
          <w:sz w:val="32"/>
          <w:szCs w:val="32"/>
          <w:lang w:eastAsia="zh-CN" w:bidi="ar"/>
        </w:rPr>
        <w:t>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13084_WPSOffice_Level2"/>
      <w:bookmarkStart w:id="106" w:name="_Toc23966_WPSOffice_Level2"/>
      <w:bookmarkStart w:id="107" w:name="_Toc3131_WPSOffice_Level2"/>
      <w:bookmarkStart w:id="108" w:name="_Toc32689_WPSOffice_Level2"/>
      <w:bookmarkStart w:id="109" w:name="_Toc25333_WPSOffice_Level2"/>
      <w:bookmarkStart w:id="110" w:name="_Toc3038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10902_WPSOffice_Level2"/>
      <w:bookmarkStart w:id="112" w:name="_Toc527_WPSOffice_Level2"/>
      <w:bookmarkStart w:id="113" w:name="_Toc19989_WPSOffice_Level2"/>
      <w:bookmarkStart w:id="114" w:name="_Toc15129_WPSOffice_Level2"/>
      <w:bookmarkStart w:id="115" w:name="_Toc29584_WPSOffice_Level2"/>
      <w:bookmarkStart w:id="116" w:name="_Toc6016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8874_WPSOffice_Level1"/>
      <w:bookmarkStart w:id="118" w:name="_Toc11039_WPSOffice_Level1"/>
      <w:bookmarkStart w:id="119" w:name="_Toc8808_WPSOffice_Level1"/>
      <w:bookmarkStart w:id="120" w:name="_Toc17580_WPSOffice_Level1"/>
      <w:bookmarkStart w:id="121" w:name="_Toc4398_WPSOffice_Level1"/>
      <w:bookmarkStart w:id="122"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w:t>
      </w:r>
      <w:bookmarkStart w:id="123" w:name="_GoBack"/>
      <w:bookmarkEnd w:id="123"/>
      <w:r>
        <w:rPr>
          <w:rFonts w:hint="eastAsia" w:ascii="仿宋_GB2312" w:hAnsi="ˎ̥" w:eastAsia="仿宋_GB2312"/>
          <w:color w:val="auto"/>
          <w:sz w:val="32"/>
          <w:szCs w:val="32"/>
        </w:rPr>
        <w:t>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E8CF77"/>
    <w:multiLevelType w:val="singleLevel"/>
    <w:tmpl w:val="68E8CF77"/>
    <w:lvl w:ilvl="0" w:tentative="0">
      <w:start w:val="1"/>
      <w:numFmt w:val="chineseCounting"/>
      <w:suff w:val="nothing"/>
      <w:lvlText w:val="%1、"/>
      <w:lvlJc w:val="left"/>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7F17C9"/>
    <w:rsid w:val="01B01AB5"/>
    <w:rsid w:val="01DE40C5"/>
    <w:rsid w:val="01F1703D"/>
    <w:rsid w:val="03753B99"/>
    <w:rsid w:val="0482385A"/>
    <w:rsid w:val="04F23E6A"/>
    <w:rsid w:val="06F74C86"/>
    <w:rsid w:val="090F3A54"/>
    <w:rsid w:val="09201287"/>
    <w:rsid w:val="0AAE68E2"/>
    <w:rsid w:val="0CE828B8"/>
    <w:rsid w:val="0D79434B"/>
    <w:rsid w:val="0DE25977"/>
    <w:rsid w:val="0E106CB8"/>
    <w:rsid w:val="0FC80124"/>
    <w:rsid w:val="10116FF2"/>
    <w:rsid w:val="107473F4"/>
    <w:rsid w:val="13680C92"/>
    <w:rsid w:val="136F98C7"/>
    <w:rsid w:val="13863AEB"/>
    <w:rsid w:val="140F548C"/>
    <w:rsid w:val="157E6073"/>
    <w:rsid w:val="17427E68"/>
    <w:rsid w:val="1755065F"/>
    <w:rsid w:val="1A384342"/>
    <w:rsid w:val="1AFC29C9"/>
    <w:rsid w:val="1CA52F2E"/>
    <w:rsid w:val="1D5B61C8"/>
    <w:rsid w:val="1DFE370B"/>
    <w:rsid w:val="1E1A30D2"/>
    <w:rsid w:val="1E3630B9"/>
    <w:rsid w:val="1E573287"/>
    <w:rsid w:val="21390366"/>
    <w:rsid w:val="22CD0939"/>
    <w:rsid w:val="24561D5A"/>
    <w:rsid w:val="26EEC2B5"/>
    <w:rsid w:val="26F40050"/>
    <w:rsid w:val="2706126F"/>
    <w:rsid w:val="284D2A8A"/>
    <w:rsid w:val="29472309"/>
    <w:rsid w:val="29A76056"/>
    <w:rsid w:val="2B406E77"/>
    <w:rsid w:val="2B5E2BBA"/>
    <w:rsid w:val="2B9F7CB0"/>
    <w:rsid w:val="2C2A0C43"/>
    <w:rsid w:val="2D1E73A5"/>
    <w:rsid w:val="30733B05"/>
    <w:rsid w:val="323B3D30"/>
    <w:rsid w:val="32717154"/>
    <w:rsid w:val="3417182C"/>
    <w:rsid w:val="34B63260"/>
    <w:rsid w:val="352F5EDA"/>
    <w:rsid w:val="378473E2"/>
    <w:rsid w:val="37FDA7E2"/>
    <w:rsid w:val="3A314D88"/>
    <w:rsid w:val="3A746883"/>
    <w:rsid w:val="3C793029"/>
    <w:rsid w:val="3CA15DE9"/>
    <w:rsid w:val="3E725C52"/>
    <w:rsid w:val="3F2E5FDC"/>
    <w:rsid w:val="3F7B2305"/>
    <w:rsid w:val="3F7C6F51"/>
    <w:rsid w:val="3FE61EE5"/>
    <w:rsid w:val="402A1C35"/>
    <w:rsid w:val="406508EE"/>
    <w:rsid w:val="408D6263"/>
    <w:rsid w:val="41031019"/>
    <w:rsid w:val="41B40CEE"/>
    <w:rsid w:val="41FC7762"/>
    <w:rsid w:val="43E51D4C"/>
    <w:rsid w:val="44251CBF"/>
    <w:rsid w:val="456F3FCA"/>
    <w:rsid w:val="45CD69C4"/>
    <w:rsid w:val="48317291"/>
    <w:rsid w:val="485F7024"/>
    <w:rsid w:val="487C4DB4"/>
    <w:rsid w:val="48E70666"/>
    <w:rsid w:val="49545021"/>
    <w:rsid w:val="4C6877E5"/>
    <w:rsid w:val="4D331D76"/>
    <w:rsid w:val="4D6A468D"/>
    <w:rsid w:val="4E4B507E"/>
    <w:rsid w:val="4E526966"/>
    <w:rsid w:val="4EA86137"/>
    <w:rsid w:val="52564225"/>
    <w:rsid w:val="55382BCA"/>
    <w:rsid w:val="56B06102"/>
    <w:rsid w:val="56CA7FD0"/>
    <w:rsid w:val="574B47BE"/>
    <w:rsid w:val="57FA38D1"/>
    <w:rsid w:val="580210AB"/>
    <w:rsid w:val="58FB7999"/>
    <w:rsid w:val="5C6D4780"/>
    <w:rsid w:val="5E4563F1"/>
    <w:rsid w:val="5F7D3333"/>
    <w:rsid w:val="5FE8397E"/>
    <w:rsid w:val="61385890"/>
    <w:rsid w:val="61427F61"/>
    <w:rsid w:val="61655500"/>
    <w:rsid w:val="63047586"/>
    <w:rsid w:val="63E14AA6"/>
    <w:rsid w:val="670D517E"/>
    <w:rsid w:val="687436E1"/>
    <w:rsid w:val="68D15EAA"/>
    <w:rsid w:val="699829AD"/>
    <w:rsid w:val="69E91F4B"/>
    <w:rsid w:val="6C680D9D"/>
    <w:rsid w:val="6C826275"/>
    <w:rsid w:val="6CB51CF5"/>
    <w:rsid w:val="6D6E48FD"/>
    <w:rsid w:val="6DA45C50"/>
    <w:rsid w:val="6E9A7825"/>
    <w:rsid w:val="6F0336C3"/>
    <w:rsid w:val="6F670F9B"/>
    <w:rsid w:val="70295227"/>
    <w:rsid w:val="70A63988"/>
    <w:rsid w:val="712D0ADF"/>
    <w:rsid w:val="718827AD"/>
    <w:rsid w:val="71C50005"/>
    <w:rsid w:val="71D76F2B"/>
    <w:rsid w:val="737450E0"/>
    <w:rsid w:val="74054476"/>
    <w:rsid w:val="742F38C4"/>
    <w:rsid w:val="744F1D60"/>
    <w:rsid w:val="74AB66DC"/>
    <w:rsid w:val="74C4154C"/>
    <w:rsid w:val="75956FFF"/>
    <w:rsid w:val="76771F3A"/>
    <w:rsid w:val="77940172"/>
    <w:rsid w:val="77AA2D01"/>
    <w:rsid w:val="78840E86"/>
    <w:rsid w:val="7B743700"/>
    <w:rsid w:val="7BCC6B9C"/>
    <w:rsid w:val="7C83275D"/>
    <w:rsid w:val="7CDE1DBD"/>
    <w:rsid w:val="7D943A85"/>
    <w:rsid w:val="7DB0448C"/>
    <w:rsid w:val="7E5F9AA4"/>
    <w:rsid w:val="8FFC8888"/>
    <w:rsid w:val="A7F73C99"/>
    <w:rsid w:val="BFFE3BF4"/>
    <w:rsid w:val="DFEBDA37"/>
    <w:rsid w:val="EF6FCA1D"/>
    <w:rsid w:val="EFFF57D6"/>
    <w:rsid w:val="FD33A2D0"/>
    <w:rsid w:val="FF7FA20F"/>
    <w:rsid w:val="FFFE81A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框文本 Char"/>
    <w:link w:val="4"/>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批注主题 Char"/>
    <w:link w:val="2"/>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character" w:customStyle="1" w:styleId="18">
    <w:name w:val="font01"/>
    <w:basedOn w:val="7"/>
    <w:uiPriority w:val="0"/>
    <w:rPr>
      <w:rFonts w:hint="eastAsia" w:ascii="MingLiU" w:hAnsi="MingLiU" w:eastAsia="MingLiU" w:cs="MingLiU"/>
      <w:color w:val="000000"/>
      <w:sz w:val="28"/>
      <w:szCs w:val="28"/>
      <w:u w:val="none"/>
    </w:rPr>
  </w:style>
  <w:style w:type="character" w:customStyle="1" w:styleId="19">
    <w:name w:val="font121"/>
    <w:basedOn w:val="7"/>
    <w:uiPriority w:val="0"/>
    <w:rPr>
      <w:rFonts w:hint="eastAsia" w:ascii="MingLiU" w:hAnsi="MingLiU" w:eastAsia="MingLiU" w:cs="MingLiU"/>
      <w:color w:val="000000"/>
      <w:sz w:val="20"/>
      <w:szCs w:val="20"/>
      <w:u w:val="none"/>
    </w:rPr>
  </w:style>
  <w:style w:type="character" w:customStyle="1" w:styleId="20">
    <w:name w:val="font111"/>
    <w:basedOn w:val="7"/>
    <w:uiPriority w:val="0"/>
    <w:rPr>
      <w:rFonts w:hint="eastAsia" w:ascii="宋体" w:hAnsi="宋体" w:eastAsia="宋体" w:cs="宋体"/>
      <w:color w:val="000000"/>
      <w:sz w:val="20"/>
      <w:szCs w:val="20"/>
      <w:u w:val="none"/>
    </w:rPr>
  </w:style>
  <w:style w:type="character" w:customStyle="1" w:styleId="21">
    <w:name w:val="font51"/>
    <w:basedOn w:val="7"/>
    <w:uiPriority w:val="0"/>
    <w:rPr>
      <w:rFonts w:hint="eastAsia" w:ascii="MingLiU" w:hAnsi="MingLiU" w:eastAsia="MingLiU" w:cs="MingLiU"/>
      <w:color w:val="000000"/>
      <w:sz w:val="18"/>
      <w:szCs w:val="18"/>
      <w:u w:val="none"/>
    </w:rPr>
  </w:style>
  <w:style w:type="character" w:customStyle="1" w:styleId="22">
    <w:name w:val="font131"/>
    <w:basedOn w:val="7"/>
    <w:uiPriority w:val="0"/>
    <w:rPr>
      <w:rFonts w:hint="eastAsia" w:ascii="宋体" w:hAnsi="宋体" w:eastAsia="宋体" w:cs="宋体"/>
      <w:color w:val="000000"/>
      <w:sz w:val="18"/>
      <w:szCs w:val="18"/>
      <w:u w:val="none"/>
    </w:rPr>
  </w:style>
  <w:style w:type="character" w:customStyle="1" w:styleId="23">
    <w:name w:val="font161"/>
    <w:basedOn w:val="7"/>
    <w:uiPriority w:val="0"/>
    <w:rPr>
      <w:rFonts w:hint="eastAsia" w:ascii="MingLiU" w:hAnsi="MingLiU" w:eastAsia="MingLiU" w:cs="MingLiU"/>
      <w:color w:val="000000"/>
      <w:sz w:val="28"/>
      <w:szCs w:val="28"/>
      <w:u w:val="none"/>
    </w:rPr>
  </w:style>
  <w:style w:type="character" w:customStyle="1" w:styleId="24">
    <w:name w:val="font71"/>
    <w:basedOn w:val="7"/>
    <w:uiPriority w:val="0"/>
    <w:rPr>
      <w:rFonts w:hint="eastAsia" w:ascii="MingLiU" w:hAnsi="MingLiU" w:eastAsia="MingLiU" w:cs="MingLiU"/>
      <w:color w:val="000000"/>
      <w:sz w:val="20"/>
      <w:szCs w:val="20"/>
      <w:u w:val="none"/>
    </w:rPr>
  </w:style>
  <w:style w:type="character" w:customStyle="1" w:styleId="25">
    <w:name w:val="font21"/>
    <w:basedOn w:val="7"/>
    <w:uiPriority w:val="0"/>
    <w:rPr>
      <w:rFonts w:hint="eastAsia" w:ascii="宋体" w:hAnsi="宋体" w:eastAsia="宋体" w:cs="宋体"/>
      <w:color w:val="000000"/>
      <w:sz w:val="20"/>
      <w:szCs w:val="20"/>
      <w:u w:val="none"/>
    </w:rPr>
  </w:style>
  <w:style w:type="character" w:customStyle="1" w:styleId="26">
    <w:name w:val="font171"/>
    <w:basedOn w:val="7"/>
    <w:uiPriority w:val="0"/>
    <w:rPr>
      <w:rFonts w:hint="eastAsia" w:ascii="MingLiU" w:hAnsi="MingLiU" w:eastAsia="MingLiU" w:cs="MingLiU"/>
      <w:color w:val="000000"/>
      <w:sz w:val="18"/>
      <w:szCs w:val="18"/>
      <w:u w:val="none"/>
    </w:rPr>
  </w:style>
  <w:style w:type="character" w:customStyle="1" w:styleId="27">
    <w:name w:val="font8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ScaleCrop>false</ScaleCrop>
  <LinksUpToDate>false</LinksUpToDate>
  <CharactersWithSpaces>10608</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2025-10-10T09:25:10Z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