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色尼区住建局2024年度部门决算公开报告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0720_WPSOffice_Level1"/>
      <w:bookmarkStart w:id="3" w:name="_Toc32433_WPSOffice_Level1"/>
      <w:bookmarkStart w:id="4" w:name="_Toc10049_WPSOffice_Level1"/>
      <w:bookmarkStart w:id="5" w:name="_Toc1704_WPSOffice_Level1"/>
      <w:bookmarkStart w:id="6" w:name="_Toc22941_WPSOffice_Level1"/>
      <w:bookmarkStart w:id="7" w:name="_Toc23465_WPSOffice_Level1"/>
      <w:bookmarkStart w:id="8" w:name="_Toc24238_WPSOffice_Level2"/>
      <w:bookmarkStart w:id="9" w:name="_Toc14159_WPSOffice_Level2"/>
      <w:bookmarkStart w:id="10" w:name="_Toc32622_WPSOffice_Level2"/>
      <w:bookmarkStart w:id="11" w:name="_Toc20274_WPSOffice_Level2"/>
      <w:bookmarkStart w:id="12" w:name="_Toc26580_WPSOffice_Level2"/>
      <w:bookmarkStart w:id="13" w:name="_Toc20205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bookmarkStart w:id="121" w:name="_GoBack"/>
      <w:bookmarkEnd w:id="121"/>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（一）贯彻执行国家及自治区、市关于住房和城乡建设的有关法律法规和规范性文件，制定全区住房和城乡建设中长期发展规划和年度工作计划，提出全区住房和城乡建设工作建议。</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（二）负责推进住房制度改革。拟定全区住房建设规划，贯彻落实住房保障制度，指导全区住房建设和住房制度改革。</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三）负责房地产市场监督管理工作。监督执行房地产市场管理政策，贯彻落实房地产业的行业发展规划和产业政策、房地产开发、房屋交易和租赁、房地产评估与经纪管理、物业服务管理等规章制度并监督执行。</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（四）监督执行建设项目可行性研究评价方法、经济参数、建设标准和工程造价的管理制度，监督执行公共服务设施建设规范。</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（五）负责指导城市建设。</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（六）负责指导村镇建设。</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（七）负责建筑市场监督管理工作。</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（八）负责全区房屋建筑和市场工程质量安全监督管理工作。</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（九）负责推进行业科技发展和建筑节能、城镇减排工作。</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（十）负责全区住房公积金监督管理工作。</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（十一）负责全区住建领域执法的政策研究、业务指导、组织协调、监督检查和考核评价工作。</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（十二）负责行业人才工作。</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（十三）负责强化相关行业规划、发展、管理等职责。</w:t>
      </w:r>
    </w:p>
    <w:p>
      <w:pPr>
        <w:spacing w:line="578" w:lineRule="exact"/>
        <w:ind w:firstLine="640" w:firstLineChars="200"/>
        <w:rPr>
          <w:rFonts w:hint="eastAsia" w:ascii="仿宋_GB2312" w:hAnsi="ˎ̥" w:eastAsia="仿宋_GB2312" w:cs="Times New Roman"/>
          <w:color w:val="auto"/>
          <w:sz w:val="32"/>
          <w:szCs w:val="32"/>
          <w:lang w:eastAsia="zh-CN"/>
        </w:rPr>
      </w:pPr>
      <w:r>
        <w:rPr>
          <w:rFonts w:hint="eastAsia" w:ascii="仿宋_GB2312" w:hAnsi="ˎ̥" w:eastAsia="仿宋_GB2312" w:cs="Times New Roman"/>
          <w:color w:val="auto"/>
          <w:sz w:val="32"/>
          <w:szCs w:val="32"/>
          <w:lang w:eastAsia="zh-CN"/>
        </w:rPr>
        <w:t>（十四）负责本行业本领域安全生产监管和应急处置工作。</w:t>
      </w:r>
    </w:p>
    <w:p>
      <w:pPr>
        <w:spacing w:line="578" w:lineRule="exact"/>
        <w:ind w:firstLine="640" w:firstLineChars="200"/>
        <w:rPr>
          <w:rFonts w:hint="eastAsia" w:ascii="楷体" w:hAnsi="楷体" w:eastAsia="楷体" w:cs="楷体"/>
          <w:color w:val="auto"/>
          <w:sz w:val="32"/>
          <w:szCs w:val="32"/>
          <w:lang w:eastAsia="zh-CN"/>
        </w:rPr>
      </w:pPr>
      <w:r>
        <w:rPr>
          <w:rFonts w:hint="eastAsia" w:ascii="仿宋_GB2312" w:hAnsi="ˎ̥" w:eastAsia="仿宋_GB2312" w:cs="Times New Roman"/>
          <w:color w:val="auto"/>
          <w:sz w:val="32"/>
          <w:szCs w:val="32"/>
          <w:lang w:eastAsia="zh-CN"/>
        </w:rPr>
        <w:t>（十五）完成区委、区政府交办的其他任务。</w:t>
      </w:r>
    </w:p>
    <w:p>
      <w:pPr>
        <w:numPr>
          <w:ilvl w:val="0"/>
          <w:numId w:val="0"/>
        </w:numPr>
        <w:spacing w:line="578" w:lineRule="exact"/>
        <w:rPr>
          <w:rFonts w:hint="eastAsia" w:ascii="黑体" w:hAnsi="黑体" w:eastAsia="黑体" w:cs="黑体"/>
          <w:sz w:val="32"/>
          <w:szCs w:val="32"/>
        </w:rPr>
      </w:pPr>
    </w:p>
    <w:p>
      <w:pPr>
        <w:spacing w:line="578" w:lineRule="exact"/>
        <w:ind w:firstLine="640" w:firstLineChars="200"/>
        <w:rPr>
          <w:rFonts w:hint="eastAsia" w:ascii="黑体" w:hAnsi="黑体" w:eastAsia="黑体" w:cs="黑体"/>
          <w:sz w:val="32"/>
          <w:szCs w:val="32"/>
        </w:rPr>
      </w:pPr>
      <w:bookmarkStart w:id="14" w:name="_Toc17796_WPSOffice_Level2"/>
      <w:bookmarkStart w:id="15" w:name="_Toc24059_WPSOffice_Level2"/>
      <w:bookmarkStart w:id="16" w:name="_Toc24474_WPSOffice_Level2"/>
      <w:bookmarkStart w:id="17" w:name="_Toc6572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s="Times New Roman"/>
          <w:color w:val="auto"/>
          <w:sz w:val="32"/>
          <w:szCs w:val="32"/>
        </w:rPr>
      </w:pPr>
      <w:bookmarkStart w:id="19" w:name="_Toc25738_WPSOffice_Level2"/>
      <w:bookmarkStart w:id="20" w:name="_Toc24421_WPSOffice_Level2"/>
      <w:r>
        <w:rPr>
          <w:rFonts w:hint="eastAsia" w:ascii="仿宋_GB2312" w:hAnsi="ˎ̥" w:eastAsia="仿宋_GB2312"/>
          <w:color w:val="auto"/>
          <w:sz w:val="32"/>
          <w:szCs w:val="32"/>
          <w:lang w:eastAsia="zh-CN"/>
        </w:rPr>
        <w:t>色尼区住房和城乡建设局</w:t>
      </w:r>
      <w:r>
        <w:rPr>
          <w:rFonts w:hint="eastAsia" w:ascii="仿宋_GB2312" w:hAnsi="ˎ̥" w:eastAsia="仿宋_GB2312"/>
          <w:color w:val="auto"/>
          <w:sz w:val="32"/>
          <w:szCs w:val="32"/>
          <w:lang w:val="en-US" w:eastAsia="zh-CN"/>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_GB2312" w:hAnsi="ˎ̥" w:eastAsia="仿宋_GB2312"/>
          <w:color w:val="auto"/>
          <w:sz w:val="32"/>
          <w:szCs w:val="32"/>
          <w:lang w:eastAsia="zh-CN"/>
        </w:rPr>
        <w:t>，</w:t>
      </w:r>
      <w:r>
        <w:rPr>
          <w:rFonts w:hint="eastAsia" w:ascii="仿宋_GB2312" w:hAnsi="ˎ̥" w:eastAsia="仿宋_GB2312" w:cs="Times New Roman"/>
          <w:color w:val="auto"/>
          <w:sz w:val="32"/>
          <w:szCs w:val="32"/>
          <w:lang w:eastAsia="zh-CN"/>
        </w:rPr>
        <w:t>三定方案未明确细分内设机构，但说明了单位人员编制构成，行政编制</w:t>
      </w:r>
      <w:r>
        <w:rPr>
          <w:rFonts w:hint="eastAsia" w:ascii="仿宋_GB2312" w:hAnsi="ˎ̥" w:eastAsia="仿宋_GB2312" w:cs="Times New Roman"/>
          <w:color w:val="auto"/>
          <w:sz w:val="32"/>
          <w:szCs w:val="32"/>
          <w:lang w:val="en-US" w:eastAsia="zh-CN"/>
        </w:rPr>
        <w:t>6名，部门领导职数4名（正科级1名，副科级3名）。</w:t>
      </w:r>
    </w:p>
    <w:bookmarkEnd w:id="19"/>
    <w:bookmarkEnd w:id="20"/>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（注：如果是基层预算单位，没有下属单位的，可只说明单位内设机构即可。）</w:t>
      </w:r>
    </w:p>
    <w:p>
      <w:pPr>
        <w:spacing w:line="578" w:lineRule="exact"/>
        <w:jc w:val="center"/>
        <w:rPr>
          <w:rFonts w:hint="eastAsia" w:ascii="黑体" w:hAnsi="ˎ̥" w:eastAsia="黑体"/>
          <w:sz w:val="32"/>
          <w:szCs w:val="32"/>
        </w:rPr>
      </w:pPr>
      <w:bookmarkStart w:id="21" w:name="_Toc15521_WPSOffice_Level1"/>
      <w:bookmarkStart w:id="22" w:name="_Toc6234_WPSOffice_Level1"/>
      <w:bookmarkStart w:id="23" w:name="_Toc28253_WPSOffice_Level1"/>
      <w:bookmarkStart w:id="24" w:name="_Toc30451_WPSOffice_Level1"/>
      <w:bookmarkStart w:id="25" w:name="_Toc30690_WPSOffice_Level1"/>
      <w:bookmarkStart w:id="26" w:name="_Toc8164_WPSOffice_Level1"/>
      <w:bookmarkStart w:id="27" w:name="_Toc11518_WPSOffice_Level2"/>
      <w:bookmarkStart w:id="28" w:name="_Toc8867_WPSOffice_Level2"/>
      <w:bookmarkStart w:id="29" w:name="_Toc4029_WPSOffice_Level2"/>
      <w:bookmarkStart w:id="30" w:name="_Toc32695_WPSOffice_Level2"/>
      <w:bookmarkStart w:id="31" w:name="_Toc6211_WPSOffice_Level2"/>
      <w:bookmarkStart w:id="32" w:name="_Toc32472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sz w:val="32"/>
          <w:szCs w:val="32"/>
        </w:rPr>
      </w:pPr>
      <w:bookmarkStart w:id="33" w:name="_Toc25608_WPSOffice_Level2"/>
      <w:bookmarkStart w:id="34" w:name="_Toc28622_WPSOffice_Level2"/>
      <w:bookmarkStart w:id="35" w:name="_Toc30334_WPSOffice_Level2"/>
      <w:bookmarkStart w:id="36" w:name="_Toc14349_WPSOffice_Level2"/>
      <w:bookmarkStart w:id="37" w:name="_Toc23139_WPSOffice_Level2"/>
      <w:bookmarkStart w:id="38" w:name="_Toc26621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3854_WPSOffice_Level2"/>
      <w:bookmarkStart w:id="40" w:name="_Toc17626_WPSOffice_Level2"/>
      <w:bookmarkStart w:id="41" w:name="_Toc17858_WPSOffice_Level2"/>
      <w:bookmarkStart w:id="42" w:name="_Toc14658_WPSOffice_Level2"/>
      <w:bookmarkStart w:id="43" w:name="_Toc5489_WPSOffice_Level2"/>
      <w:bookmarkStart w:id="44"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21415_WPSOffice_Level2"/>
      <w:bookmarkStart w:id="46" w:name="_Toc7988_WPSOffice_Level2"/>
      <w:bookmarkStart w:id="47" w:name="_Toc13701_WPSOffice_Level2"/>
      <w:bookmarkStart w:id="48" w:name="_Toc23493_WPSOffice_Level2"/>
      <w:bookmarkStart w:id="49" w:name="_Toc23591_WPSOffice_Level2"/>
      <w:bookmarkStart w:id="50" w:name="_Toc426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9" w:name="_Toc29886_WPSOffice_Level2"/>
      <w:bookmarkStart w:id="70" w:name="_Toc9377_WPSOffice_Level2"/>
      <w:bookmarkStart w:id="71" w:name="_Toc1820_WPSOffice_Level2"/>
      <w:bookmarkStart w:id="72" w:name="_Toc19961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sz w:val="32"/>
          <w:szCs w:val="32"/>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40,551.10</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40,551.10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18444.51</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45</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2024年收入中以前年度项目结转资金较多，项目资金支出相应增加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2024年度有3个新建项目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项目资金支出相应增加。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36,782.94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使用非财政拨款结余</w:t>
      </w:r>
      <w:r>
        <w:rPr>
          <w:rFonts w:hint="eastAsia" w:ascii="仿宋_GB2312" w:hAnsi="ˎ̥" w:eastAsia="仿宋_GB2312"/>
          <w:color w:val="auto"/>
          <w:sz w:val="32"/>
          <w:szCs w:val="32"/>
          <w:lang w:val="en-US" w:eastAsia="zh-CN"/>
        </w:rPr>
        <w:t>15,380.21（援藏）</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18444.51</w:t>
      </w:r>
      <w:r>
        <w:rPr>
          <w:rFonts w:hint="eastAsia" w:ascii="仿宋_GB2312" w:hAnsi="ˎ̥" w:eastAsia="仿宋_GB2312"/>
          <w:color w:val="auto"/>
          <w:sz w:val="32"/>
          <w:szCs w:val="32"/>
        </w:rPr>
        <w:t>万元，主要原因：一是</w:t>
      </w:r>
      <w:r>
        <w:rPr>
          <w:rFonts w:hint="eastAsia" w:ascii="仿宋_GB2312" w:hAnsi="ˎ̥" w:eastAsia="仿宋_GB2312"/>
          <w:color w:val="auto"/>
          <w:sz w:val="32"/>
          <w:szCs w:val="32"/>
          <w:lang w:val="en-US" w:eastAsia="zh-CN"/>
        </w:rPr>
        <w:t>2024年收入中以前年度项目结转资金较多，项目资金支出相应增加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2024年度有3个新建项目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项目资金支出相应增加</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3,768.16</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项目进度缓慢资金结转至本年，</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3210.42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项目进度较快，支出率相应增加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本年支出</w:t>
      </w:r>
      <w:r>
        <w:rPr>
          <w:rFonts w:hint="default" w:ascii="仿宋_GB2312" w:hAnsi="ˎ̥" w:eastAsia="仿宋_GB2312"/>
          <w:color w:val="000000" w:themeColor="text1"/>
          <w:sz w:val="32"/>
          <w:szCs w:val="32"/>
          <w:lang w:val="en-US"/>
          <w14:textFill>
            <w14:solidFill>
              <w14:schemeClr w14:val="tx1"/>
            </w14:solidFill>
          </w14:textFill>
        </w:rPr>
        <w:t>40,551.10</w:t>
      </w:r>
      <w:r>
        <w:rPr>
          <w:rFonts w:hint="eastAsia" w:ascii="仿宋_GB2312" w:hAnsi="ˎ̥"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sz w:val="32"/>
          <w:szCs w:val="32"/>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sz w:val="32"/>
          <w:szCs w:val="32"/>
        </w:rPr>
        <w:t>万元，主要是</w:t>
      </w:r>
      <w:r>
        <w:rPr>
          <w:rFonts w:hint="eastAsia" w:ascii="仿宋_GB2312" w:hAnsi="ˎ̥" w:eastAsia="仿宋_GB2312"/>
          <w:color w:val="auto"/>
          <w:sz w:val="32"/>
          <w:szCs w:val="32"/>
        </w:rPr>
        <w:t>色尼区洛麦乡那布村乡村振兴示范村建设项目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古露镇基础设施提升项目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文化路周转房提升改造项目</w:t>
      </w:r>
      <w:r>
        <w:rPr>
          <w:rFonts w:hint="eastAsia" w:ascii="仿宋_GB2312" w:hAnsi="ˎ̥" w:eastAsia="仿宋_GB2312"/>
          <w:color w:val="auto"/>
          <w:sz w:val="32"/>
          <w:szCs w:val="32"/>
          <w:lang w:eastAsia="zh-CN"/>
        </w:rPr>
        <w:t>、农村危房改造项目</w:t>
      </w:r>
      <w:r>
        <w:rPr>
          <w:rFonts w:hint="eastAsia" w:ascii="仿宋_GB2312" w:hAnsi="ˎ̥" w:eastAsia="仿宋_GB2312"/>
          <w:sz w:val="32"/>
          <w:szCs w:val="32"/>
          <w:lang w:eastAsia="zh-CN"/>
        </w:rPr>
        <w:t>等</w:t>
      </w:r>
      <w:r>
        <w:rPr>
          <w:rFonts w:hint="eastAsia" w:ascii="仿宋_GB2312" w:hAnsi="ˎ̥" w:eastAsia="仿宋_GB2312"/>
          <w:sz w:val="32"/>
          <w:szCs w:val="32"/>
        </w:rPr>
        <w:t>，较</w:t>
      </w:r>
      <w:r>
        <w:rPr>
          <w:rFonts w:hint="default" w:ascii="仿宋_GB2312" w:hAnsi="ˎ̥" w:eastAsia="仿宋_GB2312"/>
          <w:sz w:val="32"/>
          <w:szCs w:val="32"/>
          <w:lang w:val="en-US"/>
        </w:rPr>
        <w:t>2023</w:t>
      </w:r>
      <w:r>
        <w:rPr>
          <w:rFonts w:hint="eastAsia" w:ascii="仿宋_GB2312" w:hAnsi="ˎ̥" w:eastAsia="仿宋_GB2312"/>
          <w:sz w:val="32"/>
          <w:szCs w:val="32"/>
        </w:rPr>
        <w:t>年度决算数增加</w:t>
      </w:r>
      <w:r>
        <w:rPr>
          <w:rFonts w:hint="eastAsia" w:ascii="仿宋_GB2312" w:hAnsi="ˎ̥" w:eastAsia="仿宋_GB2312"/>
          <w:sz w:val="32"/>
          <w:szCs w:val="32"/>
          <w:lang w:val="en-US" w:eastAsia="zh-CN"/>
        </w:rPr>
        <w:t>18，444.51</w:t>
      </w:r>
      <w:r>
        <w:rPr>
          <w:rFonts w:hint="eastAsia" w:ascii="仿宋_GB2312" w:hAnsi="ˎ̥" w:eastAsia="仿宋_GB2312"/>
          <w:sz w:val="32"/>
          <w:szCs w:val="32"/>
        </w:rPr>
        <w:t>万元，增长</w:t>
      </w:r>
      <w:r>
        <w:rPr>
          <w:rFonts w:hint="eastAsia" w:ascii="仿宋_GB2312" w:hAnsi="ˎ̥" w:eastAsia="仿宋_GB2312"/>
          <w:color w:val="000000" w:themeColor="text1"/>
          <w:sz w:val="32"/>
          <w:szCs w:val="32"/>
          <w:lang w:val="en-US" w:eastAsia="zh-CN"/>
          <w14:textFill>
            <w14:solidFill>
              <w14:schemeClr w14:val="tx1"/>
            </w14:solidFill>
          </w14:textFill>
        </w:rPr>
        <w:t>45.5</w:t>
      </w:r>
      <w:r>
        <w:rPr>
          <w:rFonts w:hint="eastAsia" w:ascii="仿宋_GB2312" w:hAnsi="ˎ̥" w:eastAsia="仿宋_GB2312"/>
          <w:sz w:val="32"/>
          <w:szCs w:val="32"/>
        </w:rPr>
        <w:t>%，主要原因</w:t>
      </w:r>
      <w:r>
        <w:rPr>
          <w:rFonts w:hint="eastAsia" w:ascii="仿宋_GB2312" w:hAnsi="ˎ̥" w:eastAsia="仿宋_GB2312"/>
          <w:sz w:val="32"/>
          <w:szCs w:val="32"/>
          <w:lang w:eastAsia="zh-CN"/>
        </w:rPr>
        <w:t>：</w:t>
      </w:r>
      <w:r>
        <w:rPr>
          <w:rFonts w:hint="eastAsia" w:ascii="仿宋_GB2312" w:hAnsi="ˎ̥" w:eastAsia="仿宋_GB2312"/>
          <w:color w:val="auto"/>
          <w:sz w:val="32"/>
          <w:szCs w:val="32"/>
        </w:rPr>
        <w:t>一是</w:t>
      </w:r>
      <w:r>
        <w:rPr>
          <w:rFonts w:hint="eastAsia" w:ascii="仿宋_GB2312" w:hAnsi="ˎ̥" w:eastAsia="仿宋_GB2312"/>
          <w:color w:val="auto"/>
          <w:sz w:val="32"/>
          <w:szCs w:val="32"/>
          <w:lang w:val="en-US" w:eastAsia="zh-CN"/>
        </w:rPr>
        <w:t>2024年收入中以前年度项目结转资金较多，项目资金支出相应增加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2024年度有3个新建项目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项目资金支出相应增加</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sz w:val="32"/>
          <w:szCs w:val="32"/>
        </w:rPr>
        <w:t>万元，主要原因是</w:t>
      </w:r>
      <w:r>
        <w:rPr>
          <w:rFonts w:hint="eastAsia" w:ascii="仿宋_GB2312" w:hAnsi="ˎ̥" w:eastAsia="仿宋_GB2312"/>
          <w:color w:val="auto"/>
          <w:sz w:val="32"/>
          <w:szCs w:val="32"/>
          <w:lang w:eastAsia="zh-CN"/>
        </w:rPr>
        <w:t>项目进度较快，支出率相应增加</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36,782.94</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21,402.73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58</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15,380.21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42</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lang w:eastAsia="zh-CN"/>
        </w:rPr>
      </w:pPr>
      <w:r>
        <w:rPr>
          <w:rFonts w:hint="eastAsia" w:ascii="仿宋_GB2312" w:hAnsi="ˎ̥" w:eastAsia="仿宋_GB2312"/>
          <w:color w:val="auto"/>
          <w:sz w:val="32"/>
          <w:szCs w:val="32"/>
          <w:highlight w:val="none"/>
        </w:rPr>
        <w:t>本年支出</w:t>
      </w:r>
      <w:r>
        <w:rPr>
          <w:rFonts w:hint="default" w:ascii="仿宋_GB2312" w:hAnsi="ˎ̥" w:eastAsia="仿宋_GB2312"/>
          <w:color w:val="auto"/>
          <w:sz w:val="32"/>
          <w:szCs w:val="32"/>
          <w:highlight w:val="none"/>
          <w:lang w:val="en-US"/>
        </w:rPr>
        <w:t>40,551.10</w:t>
      </w:r>
      <w:r>
        <w:rPr>
          <w:rFonts w:hint="eastAsia" w:ascii="仿宋_GB2312" w:hAnsi="ˎ̥" w:eastAsia="仿宋_GB2312"/>
          <w:color w:val="auto"/>
          <w:sz w:val="32"/>
          <w:szCs w:val="32"/>
          <w:highlight w:val="none"/>
        </w:rPr>
        <w:t>万元，其中：基本支出</w:t>
      </w:r>
      <w:r>
        <w:rPr>
          <w:rFonts w:hint="default" w:ascii="仿宋_GB2312" w:hAnsi="ˎ̥" w:eastAsia="仿宋_GB2312"/>
          <w:color w:val="auto"/>
          <w:sz w:val="32"/>
          <w:szCs w:val="32"/>
          <w:highlight w:val="none"/>
          <w:lang w:val="en-US"/>
        </w:rPr>
        <w:t>673.76</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2</w:t>
      </w:r>
      <w:r>
        <w:rPr>
          <w:rFonts w:hint="eastAsia" w:ascii="仿宋_GB2312" w:hAnsi="ˎ̥" w:eastAsia="仿宋_GB2312"/>
          <w:color w:val="auto"/>
          <w:sz w:val="32"/>
          <w:szCs w:val="32"/>
          <w:highlight w:val="none"/>
        </w:rPr>
        <w:t>%；项目支出</w:t>
      </w:r>
      <w:r>
        <w:rPr>
          <w:rFonts w:hint="default" w:ascii="仿宋_GB2312" w:hAnsi="ˎ̥" w:eastAsia="仿宋_GB2312"/>
          <w:color w:val="auto"/>
          <w:sz w:val="32"/>
          <w:szCs w:val="32"/>
          <w:highlight w:val="none"/>
          <w:lang w:val="en-US"/>
        </w:rPr>
        <w:t>39,877.34</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98</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21,402.73</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25,170.89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10861.22</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51</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2024年收入中以前年度项目结转资金较多，项目资金支出相应增加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2024年度有3个新建项目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项目资金收入相应增加。</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7650.8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2024年收入中以前年度项目结转资金较多，项目资金支出相应增加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2024年度有3个新建项目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项目资金支出相应增加。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3,768.16</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2023年项目结余资金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3210.42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85</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项目进度较快，支出率相应增加</w:t>
      </w:r>
      <w:r>
        <w:rPr>
          <w:rFonts w:hint="eastAsia" w:ascii="仿宋_GB2312" w:hAnsi="ˎ̥" w:eastAsia="仿宋_GB2312"/>
          <w:color w:val="auto"/>
          <w:sz w:val="32"/>
          <w:szCs w:val="32"/>
        </w:rPr>
        <w:t>。</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000000" w:themeColor="text1"/>
          <w:sz w:val="32"/>
          <w:szCs w:val="32"/>
          <w14:textFill>
            <w14:solidFill>
              <w14:schemeClr w14:val="tx1"/>
            </w14:solidFill>
          </w14:textFill>
        </w:rPr>
        <w:t>主要原因</w:t>
      </w:r>
      <w:r>
        <w:rPr>
          <w:rFonts w:hint="eastAsia" w:ascii="仿宋_GB2312" w:hAnsi="ˎ̥" w:eastAsia="仿宋_GB2312"/>
          <w:color w:val="auto"/>
          <w:sz w:val="32"/>
          <w:szCs w:val="32"/>
        </w:rPr>
        <w:t>是</w:t>
      </w:r>
      <w:r>
        <w:rPr>
          <w:rFonts w:hint="eastAsia" w:ascii="仿宋_GB2312" w:hAnsi="ˎ̥" w:eastAsia="仿宋_GB2312"/>
          <w:color w:val="auto"/>
          <w:sz w:val="32"/>
          <w:szCs w:val="32"/>
          <w:lang w:eastAsia="zh-CN"/>
        </w:rPr>
        <w:t>项目进度较快，支出率相应增加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13694_WPSOffice_Level2"/>
      <w:bookmarkStart w:id="80" w:name="_Toc9989_WPSOffice_Level2"/>
      <w:bookmarkStart w:id="81" w:name="_Toc23005_WPSOffice_Level2"/>
      <w:bookmarkStart w:id="82" w:name="_Toc19665_WPSOffice_Level2"/>
      <w:bookmarkStart w:id="83" w:name="_Toc21737_WPSOffice_Level2"/>
      <w:bookmarkStart w:id="84" w:name="_Toc17398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17,290.86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w:t>
      </w:r>
      <w:r>
        <w:rPr>
          <w:rFonts w:hint="eastAsia" w:ascii="仿宋_GB2312" w:hAnsi="ˎ̥" w:eastAsia="仿宋_GB2312"/>
          <w:color w:val="auto"/>
          <w:sz w:val="32"/>
          <w:szCs w:val="32"/>
          <w:highlight w:val="none"/>
          <w:lang w:val="en-US" w:eastAsia="zh-CN"/>
        </w:rPr>
        <w:t xml:space="preserve"> 减少0.023万元</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5" w:name="_Toc2711_WPSOffice_Level2"/>
      <w:bookmarkStart w:id="86" w:name="_Toc23864_WPSOffice_Level2"/>
      <w:bookmarkStart w:id="87" w:name="_Toc18793_WPSOffice_Level2"/>
      <w:bookmarkStart w:id="88" w:name="_Toc19535_WPSOffice_Level2"/>
      <w:bookmarkStart w:id="89" w:name="_Toc27767_WPSOffice_Level2"/>
      <w:bookmarkStart w:id="90" w:name="_Toc19075_WPSOffice_Level2"/>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17,290.86</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139.80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0.8</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30.52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0.2</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282.93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1.6</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25136_WPSOffice_Level2"/>
      <w:bookmarkStart w:id="92" w:name="_Toc29364_WPSOffice_Level2"/>
      <w:bookmarkStart w:id="93" w:name="_Toc22318_WPSOffice_Level2"/>
      <w:bookmarkStart w:id="94" w:name="_Toc9502_WPSOffice_Level2"/>
      <w:bookmarkStart w:id="95" w:name="_Toc15415_WPSOffice_Level2"/>
      <w:bookmarkStart w:id="96" w:name="_Toc21701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1282.32</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17,290.86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139.8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139.8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ascii="仿宋_GB2312" w:hAnsi="ˎ̥" w:eastAsia="仿宋_GB2312"/>
          <w:color w:val="auto"/>
          <w:sz w:val="32"/>
          <w:szCs w:val="32"/>
          <w:lang w:val="en-US"/>
        </w:rPr>
        <w:t>673</w:t>
      </w:r>
      <w:r>
        <w:rPr>
          <w:rFonts w:hint="eastAsia" w:ascii="仿宋_GB2312" w:hAnsi="ˎ̥" w:eastAsia="仿宋_GB2312"/>
          <w:color w:val="auto"/>
          <w:sz w:val="32"/>
          <w:szCs w:val="32"/>
          <w:lang w:val="en-US" w:eastAsia="zh-CN"/>
        </w:rPr>
        <w:t>.</w:t>
      </w:r>
      <w:r>
        <w:rPr>
          <w:rFonts w:ascii="仿宋_GB2312" w:hAnsi="ˎ̥" w:eastAsia="仿宋_GB2312"/>
          <w:color w:val="auto"/>
          <w:sz w:val="32"/>
          <w:szCs w:val="32"/>
          <w:lang w:val="en-US"/>
        </w:rPr>
        <w:t>76</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587.98</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85.78</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7,880.03</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19</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7880.03</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新增了政府性基金项目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7,880.03</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项目</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7880.03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3600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7,880.03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项目</w:t>
      </w:r>
      <w:r>
        <w:rPr>
          <w:rFonts w:hint="eastAsia" w:ascii="仿宋_GB2312" w:hAnsi="ˎ̥" w:eastAsia="仿宋_GB2312"/>
          <w:color w:val="auto"/>
          <w:sz w:val="32"/>
          <w:szCs w:val="32"/>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7880.03万元。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3600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7880.03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后期追加项目资金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万元，增长（下降）</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2.16</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2.16</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2.16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2.16</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2.16</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维修及加油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ascii="仿宋_GB2312" w:hAnsi="ˎ̥" w:eastAsia="仿宋_GB2312"/>
          <w:color w:val="auto"/>
          <w:sz w:val="32"/>
          <w:szCs w:val="32"/>
        </w:rPr>
        <w:t>（</w:t>
      </w:r>
      <w:r>
        <w:rPr>
          <w:rFonts w:hint="eastAsia" w:ascii="仿宋_GB2312" w:hAnsi="ˎ̥" w:eastAsia="仿宋_GB2312"/>
          <w:color w:val="auto"/>
          <w:sz w:val="32"/>
          <w:szCs w:val="32"/>
        </w:rPr>
        <w:t>减少</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rPr>
        <w:t>下降</w:t>
      </w:r>
      <w:r>
        <w:rPr>
          <w:rFonts w:ascii="仿宋_GB2312" w:hAnsi="ˎ̥" w:eastAsia="仿宋_GB2312"/>
          <w:color w:val="auto"/>
          <w:sz w:val="32"/>
          <w:szCs w:val="32"/>
        </w:rPr>
        <w:t>）</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bidi="ar"/>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共涉及资金3618.05万元，占一般公共预算项目支出总额的21%</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孔玛乡民房集中建设项目</w:t>
      </w:r>
      <w:r>
        <w:rPr>
          <w:rFonts w:hint="eastAsia" w:ascii="仿宋_GB2312" w:eastAsia="仿宋_GB2312"/>
          <w:color w:val="auto"/>
          <w:sz w:val="32"/>
          <w:szCs w:val="32"/>
          <w:lang w:bidi="ar"/>
        </w:rPr>
        <w:t>、</w:t>
      </w:r>
      <w:r>
        <w:rPr>
          <w:rFonts w:hint="eastAsia" w:ascii="仿宋_GB2312" w:eastAsia="仿宋_GB2312"/>
          <w:color w:val="auto"/>
          <w:sz w:val="32"/>
          <w:szCs w:val="32"/>
          <w:lang w:val="en-US" w:eastAsia="zh-CN" w:bidi="ar"/>
        </w:rPr>
        <w:t>洛麦乡那布村</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4</w:t>
      </w:r>
      <w:r>
        <w:rPr>
          <w:rFonts w:hint="eastAsia" w:ascii="仿宋_GB2312" w:eastAsia="仿宋_GB2312"/>
          <w:color w:val="auto"/>
          <w:sz w:val="32"/>
          <w:szCs w:val="32"/>
          <w:lang w:bidi="ar"/>
        </w:rPr>
        <w:t>个项目开展绩效自评，共涉及资金</w:t>
      </w:r>
      <w:r>
        <w:rPr>
          <w:rFonts w:hint="eastAsia" w:ascii="仿宋_GB2312" w:eastAsia="仿宋_GB2312"/>
          <w:color w:val="auto"/>
          <w:sz w:val="32"/>
          <w:szCs w:val="32"/>
          <w:lang w:val="en-US" w:eastAsia="zh-CN" w:bidi="ar"/>
        </w:rPr>
        <w:t>3618.05</w:t>
      </w:r>
      <w:r>
        <w:rPr>
          <w:rFonts w:hint="eastAsia" w:ascii="仿宋_GB2312" w:eastAsia="仿宋_GB2312"/>
          <w:color w:val="auto"/>
          <w:sz w:val="32"/>
          <w:szCs w:val="32"/>
          <w:lang w:bidi="ar"/>
        </w:rPr>
        <w:t>万元</w:t>
      </w:r>
      <w:r>
        <w:rPr>
          <w:rFonts w:hint="eastAsia" w:ascii="仿宋_GB2312" w:eastAsia="仿宋_GB2312"/>
          <w:color w:val="auto"/>
          <w:sz w:val="32"/>
          <w:szCs w:val="32"/>
          <w:lang w:eastAsia="zh-CN" w:bidi="ar"/>
        </w:rPr>
        <w:t>。</w:t>
      </w:r>
      <w:r>
        <w:rPr>
          <w:rFonts w:hint="eastAsia" w:ascii="仿宋_GB2312" w:eastAsia="仿宋_GB2312"/>
          <w:color w:val="auto"/>
          <w:sz w:val="32"/>
          <w:szCs w:val="32"/>
        </w:rPr>
        <w:t>共组织对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孔玛乡民房集中建设项目</w:t>
      </w:r>
      <w:r>
        <w:rPr>
          <w:rFonts w:hint="eastAsia" w:ascii="仿宋_GB2312" w:eastAsia="仿宋_GB2312"/>
          <w:color w:val="auto"/>
          <w:sz w:val="32"/>
          <w:szCs w:val="32"/>
          <w:lang w:bidi="ar"/>
        </w:rPr>
        <w:t>、</w:t>
      </w:r>
      <w:r>
        <w:rPr>
          <w:rFonts w:hint="eastAsia" w:ascii="仿宋_GB2312" w:eastAsia="仿宋_GB2312"/>
          <w:color w:val="auto"/>
          <w:sz w:val="32"/>
          <w:szCs w:val="32"/>
          <w:lang w:val="en-US" w:eastAsia="zh-CN" w:bidi="ar"/>
        </w:rPr>
        <w:t>洛麦乡那布村</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4</w:t>
      </w:r>
      <w:r>
        <w:rPr>
          <w:rFonts w:hint="eastAsia" w:ascii="仿宋_GB2312" w:eastAsia="仿宋_GB2312"/>
          <w:color w:val="auto"/>
          <w:sz w:val="32"/>
          <w:szCs w:val="32"/>
          <w:lang w:bidi="ar"/>
        </w:rPr>
        <w:t>个项目</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3618.05</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18325_WPSOffice_Level2"/>
      <w:bookmarkStart w:id="98" w:name="_Toc15565_WPSOffice_Level2"/>
      <w:bookmarkStart w:id="99" w:name="_Toc32639_WPSOffice_Level2"/>
      <w:bookmarkStart w:id="100" w:name="_Toc15262_WPSOffice_Level2"/>
      <w:bookmarkStart w:id="101" w:name="_Toc5978_WPSOffice_Level2"/>
      <w:bookmarkStart w:id="102" w:name="_Toc23598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bidi="ar"/>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色尼区住建</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85.78</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7.45</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70.53</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增长82%。</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人员数量增加</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val="en-US" w:eastAsia="zh-CN" w:bidi="ar"/>
        </w:rPr>
        <w:t>2024年新增政府物业管理维修经费</w:t>
      </w:r>
      <w:r>
        <w:rPr>
          <w:rFonts w:hint="eastAsia" w:ascii="仿宋_GB2312" w:hAnsi="ˎ̥" w:eastAsia="仿宋_GB2312"/>
          <w:color w:val="auto"/>
          <w:sz w:val="32"/>
          <w:szCs w:val="32"/>
          <w:lang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23966_WPSOffice_Level2"/>
      <w:bookmarkStart w:id="104" w:name="_Toc3131_WPSOffice_Level2"/>
      <w:bookmarkStart w:id="105" w:name="_Toc32689_WPSOffice_Level2"/>
      <w:bookmarkStart w:id="106" w:name="_Toc25333_WPSOffice_Level2"/>
      <w:bookmarkStart w:id="107" w:name="_Toc30383_WPSOffice_Level2"/>
      <w:bookmarkStart w:id="108" w:name="_Toc13084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色尼区住建局</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15129_WPSOffice_Level2"/>
      <w:bookmarkStart w:id="110" w:name="_Toc19989_WPSOffice_Level2"/>
      <w:bookmarkStart w:id="111" w:name="_Toc527_WPSOffice_Level2"/>
      <w:bookmarkStart w:id="112" w:name="_Toc6016_WPSOffice_Level2"/>
      <w:bookmarkStart w:id="113" w:name="_Toc29584_WPSOffice_Level2"/>
      <w:bookmarkStart w:id="114" w:name="_Toc10902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43</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8874_WPSOffice_Level1"/>
      <w:bookmarkStart w:id="116" w:name="_Toc4398_WPSOffice_Level1"/>
      <w:bookmarkStart w:id="117" w:name="_Toc15425_WPSOffice_Level1"/>
      <w:bookmarkStart w:id="118" w:name="_Toc11039_WPSOffice_Level1"/>
      <w:bookmarkStart w:id="119" w:name="_Toc8808_WPSOffice_Level1"/>
      <w:bookmarkStart w:id="120" w:name="_Toc17580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XXXX（类）XXXX（款）XXXX（项），</w:t>
      </w:r>
      <w:r>
        <w:rPr>
          <w:rFonts w:ascii="仿宋_GB2312" w:hAnsi="ˎ̥" w:eastAsia="仿宋_GB2312"/>
          <w:color w:val="auto"/>
          <w:sz w:val="32"/>
          <w:szCs w:val="32"/>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XXXX（类）XXXX（款）XXXX（项），</w:t>
      </w:r>
      <w:r>
        <w:rPr>
          <w:rFonts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5CD4FD61"/>
    <w:multiLevelType w:val="singleLevel"/>
    <w:tmpl w:val="5CD4FD61"/>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YTZhODRkMmYyMjVlODMzMjJhZmE5M2Y4Y2QxNGI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36F98C7"/>
    <w:rsid w:val="17427E68"/>
    <w:rsid w:val="1755065F"/>
    <w:rsid w:val="19361542"/>
    <w:rsid w:val="1AFC29C9"/>
    <w:rsid w:val="1C857F33"/>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3213639"/>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6774</Words>
  <Characters>7473</Characters>
  <Lines>67</Lines>
  <Paragraphs>18</Paragraphs>
  <TotalTime>2</TotalTime>
  <ScaleCrop>false</ScaleCrop>
  <LinksUpToDate>false</LinksUpToDate>
  <CharactersWithSpaces>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2025-10-10T04:16:09Z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8922A9AA4BBE4A3C9AFF1AF972F5343C_13</vt:lpwstr>
  </property>
  <property fmtid="{D5CDD505-2E9C-101B-9397-08002B2CF9AE}" pid="4" name="KSOTemplateDocerSaveRecord">
    <vt:lpwstr>eyJoZGlkIjoiY2VlZThlZDk5ZTQ4MTFjNGY3MjIxNTdiOWMzZmQwMWMiLCJ1c2VySWQiOiIyMzQ5MTc1OTYifQ==</vt:lpwstr>
  </property>
</Properties>
</file>