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那曲市第四幼儿园2024年度部门决算公开报告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704_WPSOffice_Level1"/>
      <w:bookmarkStart w:id="3" w:name="_Toc22941_WPSOffice_Level1"/>
      <w:bookmarkStart w:id="4" w:name="_Toc10049_WPSOffice_Level1"/>
      <w:bookmarkStart w:id="5" w:name="_Toc32433_WPSOffice_Level1"/>
      <w:bookmarkStart w:id="6" w:name="_Toc23465_WPSOffice_Level1"/>
      <w:bookmarkStart w:id="7" w:name="_Toc10720_WPSOffice_Level1"/>
      <w:bookmarkStart w:id="8" w:name="_Toc24238_WPSOffice_Level2"/>
      <w:bookmarkStart w:id="9" w:name="_Toc14159_WPSOffice_Level2"/>
      <w:bookmarkStart w:id="10" w:name="_Toc20205_WPSOffice_Level2"/>
      <w:bookmarkStart w:id="11" w:name="_Toc20274_WPSOffice_Level2"/>
      <w:bookmarkStart w:id="12" w:name="_Toc32622_WPSOffice_Level2"/>
      <w:bookmarkStart w:id="13" w:name="_Toc26580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numPr>
          <w:ilvl w:val="0"/>
          <w:numId w:val="0"/>
        </w:numPr>
        <w:spacing w:line="578"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rPr>
        <w:t>贯彻执行国家的教育体育工作的政策和法律法规，拟订色尼区教育体育改革与发展的政策和规划，研究草拟地方性教育体育工作规定和规章制度并组织实施，承担色尼区教育体育领域改革有关工作。全面贯彻党的教育方针，指导教育领域贯彻执行党的路线方针教育。承担区委教育工作领导小组日常工作，研究拟订色尼区教育领域党的建设规划并指导实施。负责对色尼区教育领域当的建设重要问题进行调查研究，向区委提出意见建议，在职权范围内对有关问题作出决定。指导色尼区教育领域党的基层组织建设和党员队伍建设。指导色尼区教育领域精神文明建设</w:t>
      </w:r>
      <w:r>
        <w:rPr>
          <w:rFonts w:hint="eastAsia" w:ascii="仿宋" w:hAnsi="仿宋" w:eastAsia="仿宋" w:cs="仿宋"/>
          <w:b w:val="0"/>
          <w:bCs w:val="0"/>
          <w:color w:val="auto"/>
          <w:sz w:val="30"/>
          <w:szCs w:val="30"/>
          <w:lang w:eastAsia="zh-CN"/>
        </w:rPr>
        <w:t>。负责本行业本领域安全生产监管和应急处置工作。负责色尼区基础教育（含学、前教育、特殊教育）、职业与成人教育、继续教育、民办教育、特殊教育的管理工作，会同有关部门制定各级各类学、校设置标准，指导各级各类学、校德育，智育，体育、美育、劳动教育工作，负责教育基本信息的统计、分析和发布。主管色尼区教师工作，负责组织教师资格认定有关工作。规划和指导各级各类学、校教师和教育行政队伍 建设，协调及管理本地的教师培训工作。在权限范围内统筹管理色尼区各级各类教育领域的课程和教材工作，组织指导教育科学、研究工作，承担色尼区教育信息化建设。研究制定色尼区教育考试招生具体措施并组织实施，负责色尼区学、生管理，各级各类教育的学、籍学、历管理工作，参与制定普通高等学、校毕业生就业具体措施，指导创新创业教育和就业工作，指导社会力量办学、，对教育质量进行检查。协助开展教育“组团式”援藏工作。组织开展“人才引进”工作，做好引进人才的教育与管理。统筹规划色尼区群众体育和青少年体育发展，指导色尼区群众的体育、竞技体育和体育经济工作以及全民健康活动计划的实施。实施国家和自治区体育锻炼标准，推动国民体质监测和社会体育指导工作队伍制度建设。承担教育督导工作，负责各级各类教育督导检查和评估验收工作，负责督政督学、和质量监测工作。负责色尼区贯彻执行教育法律、法规、方针、政策的监督检查。负责督导、检查下级教育行政主管部门履行教育职责和巩固提高“控辍保学、”工作。督导评估中小学、校（含学、前教育）的办学、水平和教育质量。指导色尼区义务教育均衡和素质教育发展工作。</w:t>
      </w:r>
    </w:p>
    <w:p>
      <w:pPr>
        <w:numPr>
          <w:ilvl w:val="0"/>
          <w:numId w:val="0"/>
        </w:numPr>
        <w:spacing w:line="578" w:lineRule="exact"/>
        <w:ind w:firstLine="600" w:firstLineChars="20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教育相关工作职责：1</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sz w:val="30"/>
          <w:szCs w:val="30"/>
        </w:rPr>
        <w:t>负责色尼区教育体育领域党的建设，党风建设和意识形态工作，指导教育体育系统精神文明建设和群工作，指导各级各类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校的思想政治 和德育体育美育国防教育劳动教育工作。2</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负责教育体育领域安全生产监督管理和应急处置工作。 3</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负责色尼区基础教育（含</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前教育）、职业与成人教育，民办教育、特殊教育的管理工作，会同有关部门制定各级各类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校设置标准，负责教育体育系统人才队伍建设，主管色尼区教师工作。4</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负责各级各类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校开展教</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研究，教</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改革和教育科研的组织与指导，承担色尼区教育信息化建设和教育统计工作的配合审定地方乡土教材与教</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参考辅助资料，负责相关管理工作。规划指导有关的</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历教育考试和扫除青壮年文盲工作。组织指导各类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校的推广普通话文字规范工作，承担色尼区语言文字工作委员会的日常工作。5</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配合研究制定色尼区教育考试招生政策并组织实施负责色尼区</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生管理工作，负责中考，小考以及成人大中专的考试和招生工作，负责各级各类教育的</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籍管理工作。指导社会力量办</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，对教育质量进行检查。6</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负责教育体育财政拨款执行情况的监督检查，会同有关部门制订教育体育经费筹措，教育体育拨款、教育体育基建投资以及教育体育收费的规定。负责区级财政核拨的有关教育体育资金的分配和教育体育国有资产，组织开展教育体育系统内部审计工作。管理各类教育体育基金会，负责</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生资助工作，监督各类资助政策落实。7</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负责组织教师资格认定有关工作，规划和指导各级各类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校教师和教育行政干部队伍的建设，协调及管理本地的师资培训工作。管理教育“组团式”援藏工作。组织开展人才引进工作，做好引进人才的教育与管理。8</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统筹规划色尼区群众体育和青少年体育发展，指导色尼区群众的体育，竞技体育和体育经济工作以及全民健康活动计划的实施。9</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承担教育督导工作，负责各级各类教育督导和质量监督检查和评估验收工作。负责督政督</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和质量检测工作。巩固提高“控辍保</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”工作，指导色尼区义务教育均衡和素质教育发展工作。10</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组织指导色尼区教育体育对外交流与合作，负责教育体育受援工作。11</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完成区委区政府交办的其他任务。</w:t>
      </w:r>
    </w:p>
    <w:p>
      <w:pPr>
        <w:numPr>
          <w:ilvl w:val="0"/>
          <w:numId w:val="0"/>
        </w:numPr>
        <w:spacing w:line="578"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rPr>
        <w:t>关于教育补助方面经费： 1工资福利支出</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sz w:val="30"/>
          <w:szCs w:val="30"/>
        </w:rPr>
        <w:t>2 商品服务支出</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3对个人和家庭补助</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4 资本性支出</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5</w:t>
      </w:r>
      <w:r>
        <w:rPr>
          <w:rFonts w:hint="eastAsia" w:ascii="仿宋" w:hAnsi="仿宋" w:eastAsia="仿宋" w:cs="仿宋"/>
          <w:b w:val="0"/>
          <w:bCs w:val="0"/>
          <w:color w:val="auto"/>
          <w:sz w:val="30"/>
          <w:szCs w:val="30"/>
        </w:rPr>
        <w:t xml:space="preserve"> 中央彩票公益金支持乡村少年宫项目</w:t>
      </w:r>
      <w:r>
        <w:rPr>
          <w:rFonts w:hint="eastAsia" w:ascii="仿宋" w:hAnsi="仿宋" w:eastAsia="仿宋" w:cs="仿宋"/>
          <w:b w:val="0"/>
          <w:bCs w:val="0"/>
          <w:color w:val="auto"/>
          <w:sz w:val="30"/>
          <w:szCs w:val="30"/>
          <w:lang w:eastAsia="zh-CN"/>
        </w:rPr>
        <w:t>；</w:t>
      </w:r>
    </w:p>
    <w:p>
      <w:pPr>
        <w:spacing w:line="578" w:lineRule="exact"/>
        <w:ind w:firstLine="640" w:firstLineChars="200"/>
        <w:rPr>
          <w:rFonts w:hint="eastAsia" w:ascii="黑体" w:hAnsi="黑体" w:eastAsia="黑体" w:cs="黑体"/>
          <w:color w:val="auto"/>
          <w:sz w:val="32"/>
          <w:szCs w:val="32"/>
        </w:rPr>
      </w:pPr>
    </w:p>
    <w:p>
      <w:pPr>
        <w:spacing w:line="578" w:lineRule="exact"/>
        <w:ind w:firstLine="640" w:firstLineChars="200"/>
        <w:rPr>
          <w:rFonts w:hint="eastAsia" w:ascii="黑体" w:hAnsi="黑体" w:eastAsia="黑体" w:cs="黑体"/>
          <w:color w:val="auto"/>
          <w:sz w:val="32"/>
          <w:szCs w:val="32"/>
        </w:rPr>
      </w:pPr>
    </w:p>
    <w:p>
      <w:pPr>
        <w:spacing w:line="578" w:lineRule="exact"/>
        <w:ind w:firstLine="640" w:firstLineChars="200"/>
        <w:rPr>
          <w:rFonts w:hint="eastAsia" w:ascii="黑体" w:hAnsi="黑体" w:eastAsia="黑体" w:cs="黑体"/>
          <w:color w:val="auto"/>
          <w:sz w:val="32"/>
          <w:szCs w:val="32"/>
        </w:rPr>
      </w:pPr>
      <w:bookmarkStart w:id="14" w:name="_Toc6572_WPSOffice_Level2"/>
      <w:bookmarkStart w:id="15" w:name="_Toc17796_WPSOffice_Level2"/>
      <w:bookmarkStart w:id="16" w:name="_Toc4833_WPSOffice_Level2"/>
      <w:bookmarkStart w:id="17" w:name="_Toc24059_WPSOffice_Level2"/>
      <w:bookmarkStart w:id="18" w:name="_Toc24474_WPSOffice_Level2"/>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那曲市第四幼儿园</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个，包括：</w:t>
      </w:r>
    </w:p>
    <w:p>
      <w:pPr>
        <w:numPr>
          <w:ilvl w:val="0"/>
          <w:numId w:val="3"/>
        </w:numPr>
        <w:spacing w:line="578" w:lineRule="exact"/>
        <w:ind w:firstLine="640" w:firstLineChars="200"/>
        <w:rPr>
          <w:rFonts w:hint="eastAsia" w:ascii="方正楷体_GBK" w:hAnsi="方正楷体_GBK" w:eastAsia="方正楷体_GBK" w:cs="方正楷体_GBK"/>
          <w:color w:val="auto"/>
          <w:sz w:val="32"/>
          <w:szCs w:val="32"/>
        </w:rPr>
      </w:pPr>
      <w:bookmarkStart w:id="19" w:name="_Toc24421_WPSOffice_Level2"/>
      <w:bookmarkStart w:id="20" w:name="_Toc25738_WPSOffice_Level2"/>
      <w:r>
        <w:rPr>
          <w:rFonts w:hint="eastAsia" w:ascii="方正楷体_GBK" w:hAnsi="方正楷体_GBK" w:eastAsia="方正楷体_GBK" w:cs="方正楷体_GBK"/>
          <w:color w:val="auto"/>
          <w:sz w:val="32"/>
          <w:szCs w:val="32"/>
        </w:rPr>
        <w:t>部门本级</w:t>
      </w:r>
      <w:bookmarkEnd w:id="19"/>
      <w:bookmarkEnd w:id="20"/>
    </w:p>
    <w:p>
      <w:pPr>
        <w:spacing w:line="578" w:lineRule="exact"/>
        <w:ind w:firstLine="960" w:firstLineChars="300"/>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统一社会信用代码：</w:t>
      </w:r>
      <w:r>
        <w:rPr>
          <w:rFonts w:ascii="宋体" w:hAnsi="宋体" w:eastAsia="宋体" w:cs="宋体"/>
          <w:color w:val="auto"/>
          <w:sz w:val="24"/>
          <w:szCs w:val="24"/>
        </w:rPr>
        <w:t>12542400MB0W</w:t>
      </w:r>
      <w:r>
        <w:rPr>
          <w:rFonts w:hint="eastAsia" w:ascii="宋体" w:hAnsi="宋体" w:cs="宋体"/>
          <w:color w:val="auto"/>
          <w:sz w:val="24"/>
          <w:szCs w:val="24"/>
          <w:lang w:val="en-US" w:eastAsia="zh-CN"/>
        </w:rPr>
        <w:t>21898U</w:t>
      </w:r>
      <w:r>
        <w:rPr>
          <w:rFonts w:hint="eastAsia" w:ascii="仿宋_GB2312" w:hAnsi="ˎ̥" w:eastAsia="仿宋_GB2312"/>
          <w:color w:val="auto"/>
          <w:sz w:val="32"/>
          <w:szCs w:val="32"/>
          <w:lang w:val="en-US" w:eastAsia="zh-CN"/>
        </w:rPr>
        <w:t>单位代码：014040,单位预算级次：2;单位类型：事业单位；预算级次：县区级</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（注：如果是基层预算单位，没有下属单位的，可只说明单位内设机构即可。）</w:t>
      </w:r>
    </w:p>
    <w:p>
      <w:pPr>
        <w:spacing w:line="578" w:lineRule="exact"/>
        <w:jc w:val="center"/>
        <w:rPr>
          <w:rFonts w:hint="eastAsia" w:ascii="黑体" w:hAnsi="ˎ̥" w:eastAsia="黑体"/>
          <w:color w:val="auto"/>
          <w:sz w:val="32"/>
          <w:szCs w:val="32"/>
        </w:rPr>
      </w:pPr>
      <w:bookmarkStart w:id="21" w:name="_Toc30451_WPSOffice_Level1"/>
      <w:bookmarkStart w:id="22" w:name="_Toc6234_WPSOffice_Level1"/>
      <w:bookmarkStart w:id="23" w:name="_Toc8164_WPSOffice_Level1"/>
      <w:bookmarkStart w:id="24" w:name="_Toc15521_WPSOffice_Level1"/>
      <w:bookmarkStart w:id="25" w:name="_Toc28253_WPSOffice_Level1"/>
      <w:bookmarkStart w:id="26" w:name="_Toc30690_WPSOffice_Level1"/>
      <w:bookmarkStart w:id="27" w:name="_Toc8867_WPSOffice_Level2"/>
      <w:bookmarkStart w:id="28" w:name="_Toc4029_WPSOffice_Level2"/>
      <w:bookmarkStart w:id="29" w:name="_Toc32695_WPSOffice_Level2"/>
      <w:bookmarkStart w:id="30" w:name="_Toc11518_WPSOffice_Level2"/>
      <w:bookmarkStart w:id="31" w:name="_Toc32472_WPSOffice_Level2"/>
      <w:bookmarkStart w:id="32" w:name="_Toc6211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color w:val="auto"/>
          <w:sz w:val="32"/>
          <w:szCs w:val="32"/>
        </w:rPr>
      </w:pPr>
      <w:bookmarkStart w:id="33" w:name="_Toc25608_WPSOffice_Level2"/>
      <w:bookmarkStart w:id="34" w:name="_Toc30334_WPSOffice_Level2"/>
      <w:bookmarkStart w:id="35" w:name="_Toc23139_WPSOffice_Level2"/>
      <w:bookmarkStart w:id="36" w:name="_Toc26621_WPSOffice_Level2"/>
      <w:bookmarkStart w:id="37" w:name="_Toc14349_WPSOffice_Level2"/>
      <w:bookmarkStart w:id="38" w:name="_Toc28622_WPSOffice_Level2"/>
      <w:r>
        <w:rPr>
          <w:rFonts w:hint="eastAsia" w:ascii="黑体" w:hAnsi="黑体" w:eastAsia="黑体" w:cs="黑体"/>
          <w:color w:val="auto"/>
          <w:sz w:val="32"/>
          <w:szCs w:val="32"/>
        </w:rPr>
        <w:t>二、收入决算公开表</w:t>
      </w:r>
      <w:bookmarkEnd w:id="33"/>
      <w:bookmarkEnd w:id="34"/>
      <w:bookmarkEnd w:id="35"/>
      <w:bookmarkEnd w:id="36"/>
      <w:bookmarkEnd w:id="37"/>
      <w:bookmarkEnd w:id="38"/>
      <w:bookmarkStart w:id="39" w:name="_Toc17626_WPSOffice_Level2"/>
      <w:bookmarkStart w:id="40" w:name="_Toc17858_WPSOffice_Level2"/>
      <w:bookmarkStart w:id="41" w:name="_Toc5489_WPSOffice_Level2"/>
      <w:bookmarkStart w:id="42" w:name="_Toc13854_WPSOffice_Level2"/>
      <w:bookmarkStart w:id="43" w:name="_Toc14658_WPSOffice_Level2"/>
      <w:bookmarkStart w:id="44" w:name="_Toc32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9"/>
      <w:bookmarkEnd w:id="40"/>
      <w:bookmarkEnd w:id="41"/>
      <w:bookmarkEnd w:id="42"/>
      <w:bookmarkEnd w:id="43"/>
      <w:bookmarkEnd w:id="44"/>
      <w:bookmarkStart w:id="45" w:name="_Toc23591_WPSOffice_Level2"/>
      <w:bookmarkStart w:id="46" w:name="_Toc4265_WPSOffice_Level2"/>
      <w:bookmarkStart w:id="47" w:name="_Toc7988_WPSOffice_Level2"/>
      <w:bookmarkStart w:id="48" w:name="_Toc13701_WPSOffice_Level2"/>
      <w:bookmarkStart w:id="49" w:name="_Toc21415_WPSOffice_Level2"/>
      <w:bookmarkStart w:id="50" w:name="_Toc2349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rPr>
      </w:pPr>
      <w:bookmarkStart w:id="51" w:name="_Toc23829_WPSOffice_Level2"/>
      <w:bookmarkStart w:id="52" w:name="_Toc25166_WPSOffice_Level2"/>
      <w:bookmarkStart w:id="53" w:name="_Toc7879_WPSOffice_Level2"/>
      <w:bookmarkStart w:id="54" w:name="_Toc22783_WPSOffice_Level2"/>
      <w:bookmarkStart w:id="55" w:name="_Toc2158_WPSOffice_Level2"/>
      <w:bookmarkStart w:id="56" w:name="_Toc13516_WPSOffice_Level2"/>
      <w:r>
        <w:rPr>
          <w:rFonts w:hint="eastAsia" w:ascii="黑体" w:hAnsi="黑体" w:eastAsia="黑体" w:cs="黑体"/>
          <w:color w:val="auto"/>
          <w:sz w:val="32"/>
          <w:szCs w:val="32"/>
        </w:rPr>
        <w:t>五、一般公共预算财政拨款收入支出决算</w:t>
      </w:r>
      <w:bookmarkEnd w:id="51"/>
      <w:bookmarkEnd w:id="52"/>
      <w:bookmarkEnd w:id="53"/>
      <w:bookmarkEnd w:id="54"/>
      <w:r>
        <w:rPr>
          <w:rFonts w:hint="eastAsia" w:ascii="黑体" w:hAnsi="黑体" w:eastAsia="黑体" w:cs="黑体"/>
          <w:color w:val="auto"/>
          <w:sz w:val="32"/>
          <w:szCs w:val="32"/>
        </w:rPr>
        <w:t>公开表</w:t>
      </w:r>
      <w:bookmarkEnd w:id="55"/>
      <w:bookmarkEnd w:id="56"/>
      <w:bookmarkStart w:id="57" w:name="_Toc5343_WPSOffice_Level2"/>
      <w:bookmarkStart w:id="58" w:name="_Toc8373_WPSOffice_Level2"/>
      <w:bookmarkStart w:id="59" w:name="_Toc2632_WPSOffice_Level2"/>
      <w:bookmarkStart w:id="60" w:name="_Toc17283_WPSOffice_Level2"/>
      <w:bookmarkStart w:id="61" w:name="_Toc17833_WPSOffice_Level2"/>
      <w:bookmarkStart w:id="62" w:name="_Toc253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3" w:name="_Toc11799_WPSOffice_Level2"/>
      <w:bookmarkStart w:id="64" w:name="_Toc1533_WPSOffice_Level2"/>
      <w:bookmarkStart w:id="65" w:name="_Toc21310_WPSOffice_Level2"/>
      <w:bookmarkStart w:id="66" w:name="_Toc13345_WPSOffice_Level2"/>
      <w:bookmarkStart w:id="67" w:name="_Toc5594_WPSOffice_Level2"/>
      <w:bookmarkStart w:id="68" w:name="_Toc6020_WPSOffice_Level2"/>
      <w:r>
        <w:rPr>
          <w:rFonts w:hint="eastAsia" w:ascii="黑体" w:hAnsi="黑体" w:eastAsia="黑体" w:cs="黑体"/>
          <w:color w:val="auto"/>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9" w:name="_Toc19961_WPSOffice_Level2"/>
      <w:bookmarkStart w:id="70" w:name="_Toc9377_WPSOffice_Level2"/>
      <w:bookmarkStart w:id="71" w:name="_Toc29886_WPSOffice_Level2"/>
      <w:bookmarkStart w:id="72" w:name="_Toc1820_WPSOffice_Level2"/>
      <w:r>
        <w:rPr>
          <w:rFonts w:hint="eastAsia" w:ascii="黑体" w:hAnsi="黑体" w:eastAsia="黑体" w:cs="黑体"/>
          <w:color w:val="auto"/>
          <w:sz w:val="32"/>
          <w:szCs w:val="32"/>
        </w:rPr>
        <w:t>九、财政拨款“三公”经费支出决算</w:t>
      </w:r>
      <w:bookmarkEnd w:id="69"/>
      <w:bookmarkEnd w:id="70"/>
      <w:bookmarkEnd w:id="71"/>
      <w:bookmarkEnd w:id="72"/>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3" w:name="_Toc28629_WPSOffice_Level1"/>
      <w:bookmarkStart w:id="74" w:name="_Toc16686_WPSOffice_Level1"/>
      <w:bookmarkStart w:id="75" w:name="_Toc29683_WPSOffice_Level1"/>
      <w:bookmarkStart w:id="76" w:name="_Toc4402_WPSOffice_Level1"/>
      <w:bookmarkStart w:id="77" w:name="_Toc31264_WPSOffice_Level1"/>
      <w:bookmarkStart w:id="78" w:name="_Toc27590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3"/>
      <w:bookmarkEnd w:id="74"/>
      <w:bookmarkEnd w:id="75"/>
      <w:bookmarkEnd w:id="76"/>
      <w:bookmarkEnd w:id="77"/>
      <w:bookmarkEnd w:id="78"/>
    </w:p>
    <w:p>
      <w:pPr>
        <w:spacing w:line="578" w:lineRule="exact"/>
        <w:jc w:val="center"/>
        <w:rPr>
          <w:rFonts w:hint="eastAsia" w:ascii="黑体" w:hAnsi="ˎ̥" w:eastAsia="黑体"/>
          <w:color w:val="auto"/>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黑体" w:hAnsi="黑体" w:eastAsia="黑体" w:cs="黑体"/>
          <w:bCs/>
          <w:color w:val="auto"/>
          <w:sz w:val="32"/>
          <w:szCs w:val="32"/>
        </w:rPr>
        <w:t>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本部门属于新增单位，无此项资金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无结转资金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无结转资金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万元，其中：财政拨款收入</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2422.46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无结转资金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无结转资金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9" w:name="_Toc23005_WPSOffice_Level2"/>
      <w:bookmarkStart w:id="80" w:name="_Toc13694_WPSOffice_Level2"/>
      <w:bookmarkStart w:id="81" w:name="_Toc19665_WPSOffice_Level2"/>
      <w:bookmarkStart w:id="82" w:name="_Toc9989_WPSOffice_Level2"/>
      <w:bookmarkStart w:id="83" w:name="_Toc21737_WPSOffice_Level2"/>
      <w:bookmarkStart w:id="84" w:name="_Toc17398_WPSOffice_Level2"/>
      <w:r>
        <w:rPr>
          <w:rFonts w:hint="eastAsia" w:ascii="楷体" w:hAnsi="楷体" w:eastAsia="楷体" w:cs="楷体"/>
          <w:color w:val="auto"/>
          <w:sz w:val="32"/>
          <w:szCs w:val="32"/>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bookmarkStart w:id="85" w:name="_Toc2711_WPSOffice_Level2"/>
      <w:bookmarkStart w:id="86" w:name="_Toc19075_WPSOffice_Level2"/>
      <w:bookmarkStart w:id="87" w:name="_Toc27767_WPSOffice_Level2"/>
      <w:bookmarkStart w:id="88" w:name="_Toc18793_WPSOffice_Level2"/>
      <w:bookmarkStart w:id="89" w:name="_Toc19535_WPSOffice_Level2"/>
      <w:bookmarkStart w:id="90" w:name="_Toc23864_WPSOffice_Level2"/>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教育</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1975.31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83</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273.44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9.9</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卫生健康（类）</w:t>
      </w:r>
      <w:r>
        <w:rPr>
          <w:rFonts w:hint="eastAsia" w:ascii="仿宋_GB2312" w:hAnsi="ˎ̥" w:eastAsia="仿宋_GB2312"/>
          <w:color w:val="auto"/>
          <w:sz w:val="32"/>
          <w:szCs w:val="32"/>
          <w:lang w:val="en-US" w:eastAsia="zh-CN"/>
        </w:rPr>
        <w:t>支出126.83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4.6</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66.88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2.5</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1" w:name="_Toc29364_WPSOffice_Level2"/>
      <w:bookmarkStart w:id="92" w:name="_Toc21701_WPSOffice_Level2"/>
      <w:bookmarkStart w:id="93" w:name="_Toc15415_WPSOffice_Level2"/>
      <w:bookmarkStart w:id="94" w:name="_Toc9502_WPSOffice_Level2"/>
      <w:bookmarkStart w:id="95" w:name="_Toc25136_WPSOffice_Level2"/>
      <w:bookmarkStart w:id="96" w:name="_Toc22318_WPSOffice_Level2"/>
      <w:r>
        <w:rPr>
          <w:rFonts w:hint="eastAsia" w:ascii="楷体" w:hAnsi="楷体" w:eastAsia="楷体" w:cs="楷体"/>
          <w:color w:val="auto"/>
          <w:sz w:val="32"/>
          <w:szCs w:val="32"/>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2442.46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lang w:val="en-US" w:eastAsia="zh-CN"/>
        </w:rPr>
        <w:t xml:space="preserve"> 教育</w:t>
      </w:r>
      <w:r>
        <w:rPr>
          <w:rFonts w:hint="eastAsia" w:ascii="仿宋_GB2312" w:hAnsi="ˎ̥" w:eastAsia="仿宋_GB2312"/>
          <w:b/>
          <w:bCs/>
          <w:color w:val="auto"/>
          <w:sz w:val="32"/>
          <w:szCs w:val="32"/>
        </w:rPr>
        <w:t>（类）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1975.31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1975.31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273.44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273.44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卫生健康（类）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126.83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126.83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left="0" w:leftChars="0"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66.88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66.88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0.00</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2,375.77</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66.69</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本部门属于新增单位，无此类资金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无此类资金。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辆，年末公务用车保有量</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共涉及资金0万元，占一般公共预算项目支出总额的0%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个国有资本经营预算项目开展绩效自评，共涉及资金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未开展此项工作，具体原因：</w:t>
      </w:r>
      <w:r>
        <w:rPr>
          <w:rFonts w:hint="eastAsia" w:ascii="仿宋_GB2312" w:eastAsia="仿宋_GB2312"/>
          <w:color w:val="000000" w:themeColor="text1"/>
          <w:sz w:val="32"/>
          <w:szCs w:val="32"/>
          <w:lang w:val="en-US" w:eastAsia="zh-CN"/>
          <w14:textFill>
            <w14:solidFill>
              <w14:schemeClr w14:val="tx1"/>
            </w14:solidFill>
          </w14:textFill>
        </w:rPr>
        <w:t>一是</w:t>
      </w:r>
      <w:r>
        <w:rPr>
          <w:rFonts w:hint="eastAsia" w:ascii="仿宋_GB2312" w:hAnsi="ˎ̥" w:eastAsia="仿宋_GB2312"/>
          <w:color w:val="000000" w:themeColor="text1"/>
          <w:sz w:val="32"/>
          <w:szCs w:val="32"/>
          <w:lang w:val="en-US" w:eastAsia="zh-CN"/>
          <w14:textFill>
            <w14:solidFill>
              <w14:schemeClr w14:val="tx1"/>
            </w14:solidFill>
          </w14:textFill>
        </w:rPr>
        <w:t>本部门属于新增单位，未开展此项工作</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可作为附件附后</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未开展此项工作，具</w:t>
      </w:r>
      <w:bookmarkStart w:id="121" w:name="_GoBack"/>
      <w:r>
        <w:rPr>
          <w:rFonts w:hint="eastAsia" w:ascii="仿宋_GB2312" w:eastAsia="仿宋_GB2312"/>
          <w:color w:val="000000" w:themeColor="text1"/>
          <w:sz w:val="32"/>
          <w:szCs w:val="32"/>
          <w:lang w:val="en-US" w:eastAsia="zh-CN"/>
          <w14:textFill>
            <w14:solidFill>
              <w14:schemeClr w14:val="tx1"/>
            </w14:solidFill>
          </w14:textFill>
        </w:rPr>
        <w:t>体原因：是</w:t>
      </w:r>
      <w:r>
        <w:rPr>
          <w:rFonts w:hint="eastAsia" w:ascii="仿宋_GB2312" w:hAnsi="ˎ̥" w:eastAsia="仿宋_GB2312"/>
          <w:color w:val="000000" w:themeColor="text1"/>
          <w:sz w:val="32"/>
          <w:szCs w:val="32"/>
          <w:lang w:val="en-US" w:eastAsia="zh-CN"/>
          <w14:textFill>
            <w14:solidFill>
              <w14:schemeClr w14:val="tx1"/>
            </w14:solidFill>
          </w14:textFill>
        </w:rPr>
        <w:t>本部门属于新增单位</w:t>
      </w:r>
      <w:r>
        <w:rPr>
          <w:rFonts w:hint="eastAsia" w:ascii="仿宋_GB2312" w:hAnsi="ˎ̥" w:eastAsia="仿宋_GB2312"/>
          <w:color w:val="000000" w:themeColor="text1"/>
          <w:sz w:val="32"/>
          <w:szCs w:val="32"/>
          <w14:textFill>
            <w14:solidFill>
              <w14:schemeClr w14:val="tx1"/>
            </w14:solidFill>
          </w14:textFill>
        </w:rPr>
        <w:t>。</w:t>
      </w:r>
    </w:p>
    <w:bookmarkEnd w:id="121"/>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7" w:name="_Toc15262_WPSOffice_Level2"/>
      <w:bookmarkStart w:id="98" w:name="_Toc23598_WPSOffice_Level2"/>
      <w:bookmarkStart w:id="99" w:name="_Toc15565_WPSOffice_Level2"/>
      <w:bookmarkStart w:id="100" w:name="_Toc5978_WPSOffice_Level2"/>
      <w:bookmarkStart w:id="101" w:name="_Toc32639_WPSOffice_Level2"/>
      <w:bookmarkStart w:id="102" w:name="_Toc18325_WPSOffice_Level2"/>
      <w:r>
        <w:rPr>
          <w:rFonts w:hint="eastAsia" w:ascii="楷体" w:hAnsi="楷体" w:eastAsia="楷体" w:cs="楷体"/>
          <w:bCs/>
          <w:color w:val="auto"/>
          <w:sz w:val="32"/>
          <w:szCs w:val="32"/>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那曲市第四幼儿园</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增长（下降）0%。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未安排相关资金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3" w:name="_Toc30383_WPSOffice_Level2"/>
      <w:bookmarkStart w:id="104" w:name="_Toc32689_WPSOffice_Level2"/>
      <w:bookmarkStart w:id="105" w:name="_Toc23966_WPSOffice_Level2"/>
      <w:bookmarkStart w:id="106" w:name="_Toc13084_WPSOffice_Level2"/>
      <w:bookmarkStart w:id="107" w:name="_Toc25333_WPSOffice_Level2"/>
      <w:bookmarkStart w:id="108" w:name="_Toc3131_WPSOffice_Level2"/>
      <w:r>
        <w:rPr>
          <w:rFonts w:hint="eastAsia" w:ascii="楷体" w:hAnsi="楷体" w:eastAsia="楷体" w:cs="楷体"/>
          <w:bCs/>
          <w:color w:val="auto"/>
          <w:sz w:val="32"/>
          <w:szCs w:val="32"/>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那曲市第四幼儿园</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9" w:name="_Toc19989_WPSOffice_Level2"/>
      <w:bookmarkStart w:id="110" w:name="_Toc15129_WPSOffice_Level2"/>
      <w:bookmarkStart w:id="111" w:name="_Toc6016_WPSOffice_Level2"/>
      <w:bookmarkStart w:id="112" w:name="_Toc527_WPSOffice_Level2"/>
      <w:bookmarkStart w:id="113" w:name="_Toc10902_WPSOffice_Level2"/>
      <w:bookmarkStart w:id="114" w:name="_Toc29584_WPSOffice_Level2"/>
      <w:r>
        <w:rPr>
          <w:rFonts w:hint="eastAsia" w:ascii="楷体" w:hAnsi="楷体" w:eastAsia="楷体" w:cs="楷体"/>
          <w:bCs/>
          <w:color w:val="auto"/>
          <w:sz w:val="32"/>
          <w:szCs w:val="32"/>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8562.00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5" w:name="_Toc4398_WPSOffice_Level1"/>
      <w:bookmarkStart w:id="116" w:name="_Toc17580_WPSOffice_Level1"/>
      <w:bookmarkStart w:id="117" w:name="_Toc15425_WPSOffice_Level1"/>
      <w:bookmarkStart w:id="118" w:name="_Toc8808_WPSOffice_Level1"/>
      <w:bookmarkStart w:id="119" w:name="_Toc11039_WPSOffice_Level1"/>
      <w:bookmarkStart w:id="120" w:name="_Toc8874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001B7C8B"/>
    <w:multiLevelType w:val="singleLevel"/>
    <w:tmpl w:val="001B7C8B"/>
    <w:lvl w:ilvl="0" w:tentative="0">
      <w:start w:val="2"/>
      <w:numFmt w:val="decimal"/>
      <w:lvlText w:val="%1."/>
      <w:lvlJc w:val="left"/>
      <w:pPr>
        <w:tabs>
          <w:tab w:val="left" w:pos="312"/>
        </w:tabs>
      </w:pPr>
    </w:lvl>
  </w:abstractNum>
  <w:abstractNum w:abstractNumId="2">
    <w:nsid w:val="3151BD5A"/>
    <w:multiLevelType w:val="singleLevel"/>
    <w:tmpl w:val="3151BD5A"/>
    <w:lvl w:ilvl="0" w:tentative="0">
      <w:start w:val="1"/>
      <w:numFmt w:val="decimal"/>
      <w:suff w:val="space"/>
      <w:lvlText w:val="%1."/>
      <w:lvlJc w:val="left"/>
    </w:lvl>
  </w:abstractNum>
  <w:abstractNum w:abstractNumId="3">
    <w:nsid w:val="4AF43385"/>
    <w:multiLevelType w:val="singleLevel"/>
    <w:tmpl w:val="4AF43385"/>
    <w:lvl w:ilvl="0" w:tentative="0">
      <w:start w:val="1"/>
      <w:numFmt w:val="chineseCounting"/>
      <w:suff w:val="nothing"/>
      <w:lvlText w:val="%1、"/>
      <w:lvlJc w:val="left"/>
      <w:rPr>
        <w:rFonts w:hint="eastAsia"/>
      </w:rPr>
    </w:lvl>
  </w:abstractNum>
  <w:abstractNum w:abstractNumId="4">
    <w:nsid w:val="4B80F90A"/>
    <w:multiLevelType w:val="singleLevel"/>
    <w:tmpl w:val="4B80F90A"/>
    <w:lvl w:ilvl="0" w:tentative="0">
      <w:start w:val="1"/>
      <w:numFmt w:val="chineseCounting"/>
      <w:suff w:val="nothing"/>
      <w:lvlText w:val="%1、"/>
      <w:lvlJc w:val="left"/>
      <w:rPr>
        <w:rFonts w:hint="eastAsia"/>
      </w:rPr>
    </w:lvl>
  </w:abstractNum>
  <w:abstractNum w:abstractNumId="5">
    <w:nsid w:val="72109F8D"/>
    <w:multiLevelType w:val="singleLevel"/>
    <w:tmpl w:val="72109F8D"/>
    <w:lvl w:ilvl="0" w:tentative="0">
      <w:start w:val="7"/>
      <w:numFmt w:val="chineseCounting"/>
      <w:suff w:val="nothing"/>
      <w:lvlText w:val="%1、"/>
      <w:lvlJc w:val="left"/>
      <w:rPr>
        <w:rFonts w:hint="eastAsia"/>
      </w:rPr>
    </w:lvl>
  </w:abstractNum>
  <w:abstractNum w:abstractNumId="6">
    <w:nsid w:val="7786165A"/>
    <w:multiLevelType w:val="singleLevel"/>
    <w:tmpl w:val="7786165A"/>
    <w:lvl w:ilvl="0" w:tentative="0">
      <w:start w:val="1"/>
      <w:numFmt w:val="chineseCounting"/>
      <w:suff w:val="nothing"/>
      <w:lvlText w:val="（%1）"/>
      <w:lvlJc w:val="left"/>
      <w:rPr>
        <w:rFonts w:hint="eastAsia"/>
      </w:rPr>
    </w:lvl>
  </w:abstractNum>
  <w:num w:numId="1">
    <w:abstractNumId w:val="5"/>
  </w:num>
  <w:num w:numId="2">
    <w:abstractNumId w:val="3"/>
  </w:num>
  <w:num w:numId="3">
    <w:abstractNumId w:val="6"/>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376577A"/>
    <w:rsid w:val="09201287"/>
    <w:rsid w:val="0A1D4ADC"/>
    <w:rsid w:val="0FC80124"/>
    <w:rsid w:val="136F98C7"/>
    <w:rsid w:val="17427E68"/>
    <w:rsid w:val="1755065F"/>
    <w:rsid w:val="1AFC29C9"/>
    <w:rsid w:val="1CA52F2E"/>
    <w:rsid w:val="1DFE370B"/>
    <w:rsid w:val="1E3630B9"/>
    <w:rsid w:val="23DB7B22"/>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3110FFC"/>
    <w:rsid w:val="48317291"/>
    <w:rsid w:val="485F7024"/>
    <w:rsid w:val="48E70666"/>
    <w:rsid w:val="4C6877E5"/>
    <w:rsid w:val="4D6A468D"/>
    <w:rsid w:val="4EA86137"/>
    <w:rsid w:val="56CA7FD0"/>
    <w:rsid w:val="57FA38D1"/>
    <w:rsid w:val="5F7D3333"/>
    <w:rsid w:val="61385890"/>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172</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2025-10-10T10:25:58Z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