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bookmarkStart w:id="0" w:name="_Toc11440_WPSOffice_Type2"/>
      <w:r>
        <w:rPr>
          <w:rFonts w:hint="eastAsia" w:asciiTheme="majorEastAsia" w:hAnsiTheme="majorEastAsia" w:eastAsiaTheme="majorEastAsia" w:cstheme="majorEastAsia"/>
          <w:b/>
          <w:bCs/>
          <w:color w:val="auto"/>
          <w:sz w:val="44"/>
          <w:szCs w:val="44"/>
        </w:rPr>
        <w:t>那曲市第三幼儿园2024年度部门决算公开报告</w:t>
      </w:r>
    </w:p>
    <w:p>
      <w:pPr>
        <w:spacing w:line="578" w:lineRule="exact"/>
        <w:jc w:val="center"/>
        <w:rPr>
          <w:rFonts w:hint="eastAsia" w:ascii="黑体" w:hAnsi="黑体" w:eastAsia="黑体" w:cs="黑体"/>
          <w:color w:val="auto"/>
          <w:sz w:val="44"/>
          <w:szCs w:val="44"/>
        </w:rPr>
      </w:pPr>
    </w:p>
    <w:p>
      <w:pPr>
        <w:spacing w:line="578" w:lineRule="exact"/>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3465_WPSOffice_Level1"/>
      <w:bookmarkStart w:id="3" w:name="_Toc1704_WPSOffice_Level1"/>
      <w:bookmarkStart w:id="4" w:name="_Toc32433_WPSOffice_Level1"/>
      <w:bookmarkStart w:id="5" w:name="_Toc10049_WPSOffice_Level1"/>
      <w:bookmarkStart w:id="6" w:name="_Toc22941_WPSOffice_Level1"/>
      <w:bookmarkStart w:id="7" w:name="_Toc10720_WPSOffice_Level1"/>
      <w:bookmarkStart w:id="8" w:name="_Toc24238_WPSOffice_Level2"/>
      <w:bookmarkStart w:id="9" w:name="_Toc20274_WPSOffice_Level2"/>
      <w:bookmarkStart w:id="10" w:name="_Toc20205_WPSOffice_Level2"/>
      <w:bookmarkStart w:id="11" w:name="_Toc14159_WPSOffice_Level2"/>
      <w:bookmarkStart w:id="12" w:name="_Toc32622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贯彻执行国家的教育体育工作的政策和法律法规，拟订色尼区教育体育改革与发展的政策和规划，研究草拟地方性教育体育工作规定和规章制度并组织实施，承担色尼区教育体育领域改革有关工作。全面贯彻党的教育方针，指导教育领域贯彻执行党的路线方针教育。承担区委教育工作领导小组日常工作，研究拟订色尼区教育领域党的建设规划并指导实施。负责对色尼区教育领域当的建设重要问题进行调查研究，向区委提出意见建议，在职权范围内对有关问题作出决定。指导色尼区教育领域党的基层组织建设和党员队伍建设。指导色尼区教育领域精神文明建设</w:t>
      </w:r>
      <w:r>
        <w:rPr>
          <w:rFonts w:hint="eastAsia" w:ascii="仿宋" w:hAnsi="仿宋" w:eastAsia="仿宋" w:cs="仿宋"/>
          <w:b w:val="0"/>
          <w:bCs w:val="0"/>
          <w:color w:val="auto"/>
          <w:sz w:val="30"/>
          <w:szCs w:val="30"/>
          <w:lang w:eastAsia="zh-CN"/>
        </w:rPr>
        <w:t>。负责本行业本领域安全生产监管和应急处置工作。负责色尼区基础教育（含学、前教育、特殊教育）、职业与成人教育、继续教育、民办教育、特殊教育的管理工作，会同有关部门制定各级各类学、校设置标准，指导各级各类学、校德育，智育，体育、美育、劳动教育工作，负责教育基本信息的统计、分析和发布。主管色尼区教师工作，负责组织教师资格认定有关工作。规划和指导各级各类学、校教师和教育行政队伍 建设，协调及管理本地的教师培训工作。在权限范围内统筹管理色尼区各级各类教育领域的课程和教材工作，组织指导教育科学、研究工作，承担色尼区教育信息化建设。研究制定色尼区教育考试招生具体措施并组织实施，负责色尼区学、生管理，各级各类教育的学、籍学、历管理工作，参与制定普通高等学、校毕业生就业具体措施，指导创新创业教育和就业工作，指导社会力量办学、，对教育质量进行检查。协助开展教育“组团式”援藏工作。组织开展“人才引进”工作，做好引进人才的教育与管理。统筹规划色尼区群众体育和青少年体育发展，指导色尼区群众的体育、竞技体育和体育经济工作以及全民健康活动计划的实施。实施国家和自治区体育锻炼标准，推动国民体质监测和社会体育指导工作队伍制度建设。承担教育督导工作，负责各级各类教育督导检查和评估验收工作，负责督政督学、和质量监测工作。负责色尼区贯彻执行教育法律、法规、方针、政策的监督检查。负责督导、检查下级教育行政主管部门履行教育职责和巩固提高“控辍保学、”工作。督导评估中小学、校（含学、前教育）的办学、水平和教育质量。指导色尼区义务教育均衡和素质教育发展工作。</w:t>
      </w:r>
    </w:p>
    <w:p>
      <w:pPr>
        <w:numPr>
          <w:ilvl w:val="0"/>
          <w:numId w:val="0"/>
        </w:numPr>
        <w:spacing w:line="578"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教育相关工作职责：1</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负责色尼区教育体育领域党的建设，党风建设和意识形态工作，指导教育体育系统精神文明建设和群工作，指导各级各类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校的思想政治 和德育体育美育国防教育劳动教育工作。2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负责教育体育领域安全生产监督管理和应急处置工作。 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负责色尼区基础教育（含</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前教育）、职业与成人教育，民办教育、特殊教育的管理工作，会同有关部门制定各级各类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校设置标准，负责教育体育系统人才队伍建设，主管色尼区教师工作。4</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负责各级各类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校开展教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研究，教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改革和教育科研的组织与指导，承担色尼区教育信息化建设和教育统计工作的配合审定地方乡土教材与教</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参考辅助资料，负责相关管理工作。规划指导有关的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历教育考试和扫除青壮年文盲工作。组织指导各类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校的推广普通话文字规范工作，承担色尼区语言文字工作委员会的日常工作。5</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配合研究制定色尼区教育考试招生政策并组织实施负责色尼区</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生管理工作，负责中考，小考以及成人大中专的考试和招生工作，负责各级各类教育的</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籍管理工作。指导社会力量办</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，对教育质量进行检查。6</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教育体育财政拨款执行情况的监督检查，会同有关部门制订教育体育经费筹措，教育体育拨款、教育体育基建投资以及教育体育收费的规定。负责区级财政核拨的有关教育体育资金的分配和教育体育国有资产，组织开展教育体育系统内部审计工作。管理各类教育体育基金会，负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生资助工作，监督各类资助政策落实。7</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负责组织教师资格认定有关工作，规划和指导各级各类</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校教师和教育行政干部队伍的建设，协调及管理本地的师资培训工作。管理教育“组团式”援藏工作。组织开展人才引进工作，做好引进人才的教育与管理。8</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统筹规划色尼区群众体育和青少年体育发展，指导色尼区群众的体育，竞技体育和体育经济工作以及全民健康活动计划的实施。9</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承担教育督导工作，负责各级各类教育督导和质量监督检查和评估验收工作。负责督政督</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和质量检测工作。巩固提高“控辍保</w:t>
      </w:r>
      <w:r>
        <w:rPr>
          <w:rFonts w:hint="eastAsia" w:ascii="仿宋" w:hAnsi="仿宋" w:eastAsia="仿宋" w:cs="仿宋"/>
          <w:b w:val="0"/>
          <w:bCs w:val="0"/>
          <w:color w:val="auto"/>
          <w:sz w:val="30"/>
          <w:szCs w:val="30"/>
          <w:lang w:eastAsia="zh-CN"/>
        </w:rPr>
        <w:t>学、</w:t>
      </w:r>
      <w:r>
        <w:rPr>
          <w:rFonts w:hint="eastAsia" w:ascii="仿宋" w:hAnsi="仿宋" w:eastAsia="仿宋" w:cs="仿宋"/>
          <w:b w:val="0"/>
          <w:bCs w:val="0"/>
          <w:color w:val="auto"/>
          <w:sz w:val="30"/>
          <w:szCs w:val="30"/>
        </w:rPr>
        <w:t>”工作，指导色尼区义务教育均衡和素质教育发展工作。10</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组织指导色尼区教育体育对外交流与合作，负责教育体育受援工作。11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完成区委区政府交办的其他任务。</w:t>
      </w:r>
    </w:p>
    <w:p>
      <w:pPr>
        <w:numPr>
          <w:ilvl w:val="0"/>
          <w:numId w:val="0"/>
        </w:numPr>
        <w:spacing w:line="578"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关于教育补助方面经费： 1工资福利支出</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sz w:val="30"/>
          <w:szCs w:val="30"/>
        </w:rPr>
        <w:t>2 商品服务支出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 xml:space="preserve"> 3对个人和家庭补助</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4 资本性支出</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rPr>
        <w:t xml:space="preserve"> 中央彩票公益金支持乡村少年宫项目</w:t>
      </w:r>
      <w:r>
        <w:rPr>
          <w:rFonts w:hint="eastAsia" w:ascii="仿宋" w:hAnsi="仿宋" w:eastAsia="仿宋" w:cs="仿宋"/>
          <w:b w:val="0"/>
          <w:bCs w:val="0"/>
          <w:color w:val="auto"/>
          <w:sz w:val="30"/>
          <w:szCs w:val="30"/>
          <w:lang w:eastAsia="zh-CN"/>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6572_WPSOffice_Level2"/>
      <w:bookmarkStart w:id="16" w:name="_Toc24059_WPSOffice_Level2"/>
      <w:bookmarkStart w:id="17" w:name="_Toc24474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色尼区教育局</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eastAsia" w:ascii="仿宋_GB2312" w:hAnsi="ˎ̥" w:eastAsia="仿宋_GB2312"/>
          <w:color w:val="auto"/>
          <w:sz w:val="32"/>
          <w:szCs w:val="32"/>
          <w:lang w:val="en-US" w:eastAsia="zh-CN"/>
        </w:rPr>
        <w:t>西藏那曲市第三幼儿园</w:t>
      </w:r>
    </w:p>
    <w:p>
      <w:pPr>
        <w:numPr>
          <w:ilvl w:val="0"/>
          <w:numId w:val="0"/>
        </w:numPr>
        <w:spacing w:line="578" w:lineRule="exact"/>
        <w:ind w:firstLine="960" w:firstLineChars="300"/>
        <w:rPr>
          <w:rFonts w:hint="eastAsia" w:ascii="仿宋_GB2312" w:hAnsi="ˎ̥" w:eastAsia="仿宋_GB2312"/>
          <w:color w:val="auto"/>
          <w:sz w:val="32"/>
          <w:szCs w:val="32"/>
        </w:rPr>
      </w:pPr>
      <w:bookmarkStart w:id="19" w:name="_Toc25738_WPSOffice_Level2"/>
      <w:bookmarkStart w:id="20" w:name="_Toc24421_WPSOffice_Level2"/>
      <w:r>
        <w:rPr>
          <w:rFonts w:hint="eastAsia" w:ascii="方正楷体_GBK" w:hAnsi="方正楷体_GBK" w:eastAsia="方正楷体_GBK" w:cs="方正楷体_GBK"/>
          <w:color w:val="auto"/>
          <w:sz w:val="32"/>
          <w:szCs w:val="32"/>
        </w:rPr>
        <w:t>部门本级</w:t>
      </w:r>
      <w:bookmarkEnd w:id="19"/>
      <w:bookmarkEnd w:id="20"/>
    </w:p>
    <w:p>
      <w:pPr>
        <w:numPr>
          <w:ilvl w:val="0"/>
          <w:numId w:val="0"/>
        </w:numPr>
        <w:spacing w:line="578" w:lineRule="exact"/>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统一社会信用代码：</w:t>
      </w:r>
      <w:r>
        <w:rPr>
          <w:rFonts w:ascii="宋体" w:hAnsi="宋体" w:eastAsia="宋体" w:cs="宋体"/>
          <w:color w:val="auto"/>
          <w:sz w:val="24"/>
          <w:szCs w:val="24"/>
        </w:rPr>
        <w:t>12542400MB0W872051</w:t>
      </w:r>
      <w:r>
        <w:rPr>
          <w:rFonts w:hint="eastAsia" w:ascii="仿宋_GB2312" w:hAnsi="ˎ̥" w:eastAsia="仿宋_GB2312"/>
          <w:color w:val="auto"/>
          <w:sz w:val="32"/>
          <w:szCs w:val="32"/>
          <w:lang w:val="en-US" w:eastAsia="zh-CN"/>
        </w:rPr>
        <w:t>,单位代码：014039,单位预算级次：2;单位类型：事业单位；预算级次：县区级</w:t>
      </w:r>
    </w:p>
    <w:p>
      <w:pPr>
        <w:spacing w:line="578" w:lineRule="exact"/>
        <w:jc w:val="both"/>
        <w:rPr>
          <w:rFonts w:hint="eastAsia" w:ascii="黑体" w:hAnsi="ˎ̥" w:eastAsia="黑体"/>
          <w:color w:val="auto"/>
          <w:sz w:val="32"/>
          <w:szCs w:val="32"/>
        </w:rPr>
      </w:pPr>
      <w:bookmarkStart w:id="21" w:name="_Toc30451_WPSOffice_Level1"/>
      <w:bookmarkStart w:id="22" w:name="_Toc30690_WPSOffice_Level1"/>
      <w:bookmarkStart w:id="23" w:name="_Toc8164_WPSOffice_Level1"/>
      <w:bookmarkStart w:id="24" w:name="_Toc15521_WPSOffice_Level1"/>
      <w:bookmarkStart w:id="25" w:name="_Toc6234_WPSOffice_Level1"/>
      <w:bookmarkStart w:id="26" w:name="_Toc28253_WPSOffice_Level1"/>
      <w:bookmarkStart w:id="27" w:name="_Toc8867_WPSOffice_Level2"/>
      <w:bookmarkStart w:id="28" w:name="_Toc11518_WPSOffice_Level2"/>
      <w:bookmarkStart w:id="29" w:name="_Toc32472_WPSOffice_Level2"/>
      <w:bookmarkStart w:id="30" w:name="_Toc32695_WPSOffice_Level2"/>
      <w:bookmarkStart w:id="31" w:name="_Toc4029_WPSOffice_Level2"/>
      <w:bookmarkStart w:id="32" w:name="_Toc6211_WPSOffice_Level2"/>
    </w:p>
    <w:p>
      <w:pPr>
        <w:spacing w:line="578" w:lineRule="exact"/>
        <w:jc w:val="both"/>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23139_WPSOffice_Level2"/>
      <w:bookmarkStart w:id="34" w:name="_Toc28622_WPSOffice_Level2"/>
      <w:bookmarkStart w:id="35" w:name="_Toc30334_WPSOffice_Level2"/>
      <w:bookmarkStart w:id="36" w:name="_Toc25608_WPSOffice_Level2"/>
      <w:bookmarkStart w:id="37" w:name="_Toc14349_WPSOffice_Level2"/>
      <w:bookmarkStart w:id="38" w:name="_Toc26621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14658_WPSOffice_Level2"/>
      <w:bookmarkStart w:id="41" w:name="_Toc13854_WPSOffice_Level2"/>
      <w:bookmarkStart w:id="42" w:name="_Toc17858_WPSOffice_Level2"/>
      <w:bookmarkStart w:id="43" w:name="_Toc3262_WPSOffice_Level2"/>
      <w:bookmarkStart w:id="44"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13701_WPSOffice_Level2"/>
      <w:bookmarkStart w:id="46" w:name="_Toc21415_WPSOffice_Level2"/>
      <w:bookmarkStart w:id="47" w:name="_Toc23591_WPSOffice_Level2"/>
      <w:bookmarkStart w:id="48" w:name="_Toc4265_WPSOffice_Level2"/>
      <w:bookmarkStart w:id="49" w:name="_Toc7988_WPSOffice_Level2"/>
      <w:bookmarkStart w:id="50"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2783_WPSOffice_Level2"/>
      <w:bookmarkStart w:id="52" w:name="_Toc23829_WPSOffice_Level2"/>
      <w:bookmarkStart w:id="53" w:name="_Toc25166_WPSOffice_Level2"/>
      <w:bookmarkStart w:id="54" w:name="_Toc7879_WPSOffice_Level2"/>
      <w:bookmarkStart w:id="55" w:name="_Toc13516_WPSOffice_Level2"/>
      <w:bookmarkStart w:id="56" w:name="_Toc2158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5343_WPSOffice_Level2"/>
      <w:bookmarkStart w:id="58" w:name="_Toc17833_WPSOffice_Level2"/>
      <w:bookmarkStart w:id="59" w:name="_Toc2632_WPSOffice_Level2"/>
      <w:bookmarkStart w:id="60" w:name="_Toc8373_WPSOffice_Level2"/>
      <w:bookmarkStart w:id="61" w:name="_Toc17283_WPSOffice_Level2"/>
      <w:bookmarkStart w:id="62"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21310_WPSOffice_Level2"/>
      <w:bookmarkStart w:id="64" w:name="_Toc11799_WPSOffice_Level2"/>
      <w:bookmarkStart w:id="65" w:name="_Toc13345_WPSOffice_Level2"/>
      <w:bookmarkStart w:id="66" w:name="_Toc5594_WPSOffice_Level2"/>
      <w:bookmarkStart w:id="67" w:name="_Toc6020_WPSOffice_Level2"/>
      <w:bookmarkStart w:id="68" w:name="_Toc1533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9377_WPSOffice_Level2"/>
      <w:bookmarkStart w:id="70" w:name="_Toc1820_WPSOffice_Level2"/>
      <w:bookmarkStart w:id="71" w:name="_Toc29886_WPSOffice_Level2"/>
      <w:bookmarkStart w:id="72" w:name="_Toc19961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16686_WPSOffice_Level1"/>
      <w:bookmarkStart w:id="74" w:name="_Toc27590_WPSOffice_Level1"/>
      <w:bookmarkStart w:id="75" w:name="_Toc28629_WPSOffice_Level1"/>
      <w:bookmarkStart w:id="76" w:name="_Toc31264_WPSOffice_Level1"/>
      <w:bookmarkStart w:id="77" w:name="_Toc29683_WPSOffice_Level1"/>
      <w:bookmarkStart w:id="78" w:name="_Toc4402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1909.78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%。主要原因：一是本单位属于新增单位。</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万元，主要是一是本单位属于新增单位，二是无提取上年数。（简要说明结转结余形成或来源），较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%，主要原因是一是本单位属于新增单位，二是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1909.78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%，主要原因：一是本单位属于新增单位。支出增加</w:t>
      </w:r>
      <w:r>
        <w:rPr>
          <w:rFonts w:hint="eastAsia" w:ascii="仿宋_GB2312" w:hAnsi="ˎ̥" w:eastAsia="仿宋_GB2312"/>
          <w:color w:val="auto"/>
          <w:sz w:val="32"/>
          <w:szCs w:val="32"/>
          <w:lang w:val="en-US" w:eastAsia="zh-CN"/>
        </w:rPr>
        <w:t>1909.78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9989_WPSOffice_Level2"/>
      <w:bookmarkStart w:id="80" w:name="_Toc17398_WPSOffice_Level2"/>
      <w:bookmarkStart w:id="81" w:name="_Toc13694_WPSOffice_Level2"/>
      <w:bookmarkStart w:id="82" w:name="_Toc23005_WPSOffice_Level2"/>
      <w:bookmarkStart w:id="83" w:name="_Toc21737_WPSOffice_Level2"/>
      <w:bookmarkStart w:id="84" w:name="_Toc19665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1,909.78</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1909.79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5" w:name="_Toc23864_WPSOffice_Level2"/>
      <w:bookmarkStart w:id="86" w:name="_Toc27767_WPSOffice_Level2"/>
      <w:bookmarkStart w:id="87" w:name="_Toc18793_WPSOffice_Level2"/>
      <w:bookmarkStart w:id="88" w:name="_Toc19535_WPSOffice_Level2"/>
      <w:bookmarkStart w:id="89" w:name="_Toc2711_WPSOffice_Level2"/>
      <w:bookmarkStart w:id="90" w:name="_Toc19075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1,909.7</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lang w:val="en-US" w:eastAsia="zh-CN"/>
        </w:rPr>
        <w:t>教育支出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1534.66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80.35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219.57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11.49</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53.7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2.81</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101.85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5.33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5136_WPSOffice_Level2"/>
      <w:bookmarkStart w:id="92" w:name="_Toc21701_WPSOffice_Level2"/>
      <w:bookmarkStart w:id="93" w:name="_Toc22318_WPSOffice_Level2"/>
      <w:bookmarkStart w:id="94" w:name="_Toc9502_WPSOffice_Level2"/>
      <w:bookmarkStart w:id="95" w:name="_Toc29364_WPSOffice_Level2"/>
      <w:bookmarkStart w:id="96" w:name="_Toc15415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default" w:ascii="仿宋_GB2312" w:hAnsi="ˎ̥" w:eastAsia="仿宋_GB2312"/>
          <w:color w:val="auto"/>
          <w:sz w:val="32"/>
          <w:szCs w:val="32"/>
          <w:lang w:val="en-US"/>
        </w:rPr>
        <w:t>1,909.7</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1,909.7</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r>
        <w:rPr>
          <w:rFonts w:hint="eastAsia" w:ascii="仿宋_GB2312" w:hAnsi="ˎ̥" w:eastAsia="仿宋_GB2312"/>
          <w:color w:val="auto"/>
          <w:sz w:val="32"/>
          <w:szCs w:val="32"/>
          <w:lang w:val="en-US" w:eastAsia="zh-CN"/>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lang w:val="en-US" w:eastAsia="zh-CN"/>
        </w:rPr>
        <w:t>教育支出</w:t>
      </w:r>
      <w:r>
        <w:rPr>
          <w:rFonts w:hint="eastAsia" w:ascii="仿宋_GB2312" w:hAnsi="ˎ̥" w:eastAsia="仿宋_GB2312"/>
          <w:b/>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1534.66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1534.66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本单位属于新增单位</w:t>
      </w:r>
      <w:r>
        <w:rPr>
          <w:rFonts w:hint="eastAsia" w:ascii="仿宋_GB2312" w:hAnsi="ˎ̥" w:eastAsia="仿宋_GB2312"/>
          <w:color w:val="auto"/>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left="480" w:leftChars="0" w:firstLine="0" w:firstLineChars="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219.57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219.57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本单位属于新增单位</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480" w:leftChars="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color w:val="auto"/>
          <w:sz w:val="32"/>
          <w:szCs w:val="32"/>
          <w:lang w:eastAsia="zh-CN"/>
        </w:rPr>
      </w:pPr>
      <w:r>
        <w:rPr>
          <w:rFonts w:hint="eastAsia" w:ascii="仿宋_GB2312" w:hAnsi="ˎ̥" w:eastAsia="仿宋_GB2312"/>
          <w:b/>
          <w:bCs/>
          <w:color w:val="auto"/>
          <w:sz w:val="32"/>
          <w:szCs w:val="32"/>
          <w:lang w:val="en-US" w:eastAsia="zh-CN"/>
        </w:rPr>
        <w:t>3.卫生健康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101.85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101.85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本单位属于新增单位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bCs/>
          <w:color w:val="auto"/>
          <w:sz w:val="32"/>
          <w:szCs w:val="32"/>
          <w:lang w:eastAsia="zh-CN"/>
        </w:rPr>
      </w:pPr>
      <w:r>
        <w:rPr>
          <w:rFonts w:hint="eastAsia" w:ascii="仿宋_GB2312" w:hAnsi="ˎ̥" w:eastAsia="仿宋_GB2312"/>
          <w:b/>
          <w:bCs/>
          <w:color w:val="auto"/>
          <w:sz w:val="32"/>
          <w:szCs w:val="32"/>
          <w:lang w:val="en-US" w:eastAsia="zh-CN"/>
        </w:rPr>
        <w:t>4.</w:t>
      </w:r>
      <w:r>
        <w:rPr>
          <w:rFonts w:hint="eastAsia" w:ascii="仿宋_GB2312" w:hAnsi="ˎ̥" w:eastAsia="仿宋_GB2312"/>
          <w:b/>
          <w:bCs/>
          <w:color w:val="auto"/>
          <w:sz w:val="32"/>
          <w:szCs w:val="32"/>
        </w:rPr>
        <w:t>住房保障（类</w:t>
      </w:r>
      <w:r>
        <w:rPr>
          <w:rFonts w:hint="eastAsia" w:ascii="仿宋_GB2312" w:hAnsi="ˎ̥" w:eastAsia="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53.7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53.7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本单位属于新增单位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1,862.79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46.99</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%，主要原因是一本单位属于新增单位，无提取上年数。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%。决算数大于（小于）预算数的主要原因：一是本单位属于新增单位。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rPr>
        <w:t>本单位属于新增单位，无提取上年数。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%，主要原因是一是本单位属于新增单位，二是无提取上年数。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%，主要原因是一是本单位属于新增单位，二是无提取上年数。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年度等</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bookmarkStart w:id="121" w:name="_GoBack"/>
      <w:bookmarkEnd w:id="121"/>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未开展此项工作，具体原因；是</w:t>
      </w:r>
      <w:r>
        <w:rPr>
          <w:rFonts w:hint="eastAsia" w:ascii="仿宋_GB2312" w:hAnsi="ˎ̥" w:eastAsia="仿宋_GB2312"/>
          <w:color w:val="auto"/>
          <w:sz w:val="32"/>
          <w:szCs w:val="32"/>
          <w:lang w:val="en-US" w:eastAsia="zh-CN"/>
        </w:rPr>
        <w:t>本部门属于新增单位，未开展此项工作</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参照如下格式说明（表述应与决算内容保持一致）：我部门（单位）在部门决算中反映等</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15565_WPSOffice_Level2"/>
      <w:bookmarkStart w:id="98" w:name="_Toc18325_WPSOffice_Level2"/>
      <w:bookmarkStart w:id="99" w:name="_Toc23598_WPSOffice_Level2"/>
      <w:bookmarkStart w:id="100" w:name="_Toc32639_WPSOffice_Level2"/>
      <w:bookmarkStart w:id="101" w:name="_Toc5978_WPSOffice_Level2"/>
      <w:bookmarkStart w:id="102" w:name="_Toc15262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那曲市第三幼儿园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增长（下降）0%。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 xml:space="preserve">办公设施设备购置经费增加（减少）/资产运行维护支出增加（减少）/信息系统运行维护支出增加（减少）/人员编制数量增加（减少）/落实过紧日子要求压减 </w:t>
      </w:r>
      <w:r>
        <w:rPr>
          <w:rFonts w:hint="eastAsia" w:ascii="仿宋_GB2312" w:hAnsi="ˎ̥" w:eastAsia="仿宋_GB2312"/>
          <w:color w:val="auto"/>
          <w:sz w:val="32"/>
          <w:szCs w:val="32"/>
          <w:lang w:val="en-US" w:eastAsia="zh-CN" w:bidi="ar"/>
        </w:rPr>
        <w:t>0</w:t>
      </w:r>
      <w:r>
        <w:rPr>
          <w:rFonts w:hint="eastAsia" w:ascii="仿宋_GB2312" w:hAnsi="ˎ̥" w:eastAsia="仿宋_GB2312"/>
          <w:color w:val="auto"/>
          <w:sz w:val="32"/>
          <w:szCs w:val="32"/>
          <w:lang w:bidi="ar"/>
        </w:rPr>
        <w:t xml:space="preserve"> 支出/……等</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23966_WPSOffice_Level2"/>
      <w:bookmarkStart w:id="104" w:name="_Toc32689_WPSOffice_Level2"/>
      <w:bookmarkStart w:id="105" w:name="_Toc3131_WPSOffice_Level2"/>
      <w:bookmarkStart w:id="106" w:name="_Toc30383_WPSOffice_Level2"/>
      <w:bookmarkStart w:id="107" w:name="_Toc25333_WPSOffice_Level2"/>
      <w:bookmarkStart w:id="108" w:name="_Toc13084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那曲市第三幼儿园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731434.82</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731434.82</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29584_WPSOffice_Level2"/>
      <w:bookmarkStart w:id="110" w:name="_Toc6016_WPSOffice_Level2"/>
      <w:bookmarkStart w:id="111" w:name="_Toc19989_WPSOffice_Level2"/>
      <w:bookmarkStart w:id="112" w:name="_Toc15129_WPSOffice_Level2"/>
      <w:bookmarkStart w:id="113" w:name="_Toc527_WPSOffice_Level2"/>
      <w:bookmarkStart w:id="114" w:name="_Toc10902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4553</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11039_WPSOffice_Level1"/>
      <w:bookmarkStart w:id="116" w:name="_Toc8874_WPSOffice_Level1"/>
      <w:bookmarkStart w:id="117" w:name="_Toc4398_WPSOffice_Level1"/>
      <w:bookmarkStart w:id="118" w:name="_Toc8808_WPSOffice_Level1"/>
      <w:bookmarkStart w:id="119" w:name="_Toc15425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20403"/>
    <w:multiLevelType w:val="singleLevel"/>
    <w:tmpl w:val="87A20403"/>
    <w:lvl w:ilvl="0" w:tentative="0">
      <w:start w:val="1"/>
      <w:numFmt w:val="chineseCounting"/>
      <w:suff w:val="nothing"/>
      <w:lvlText w:val="（%1）"/>
      <w:lvlJc w:val="left"/>
      <w:rPr>
        <w:rFonts w:hint="eastAsia"/>
      </w:rPr>
    </w:lvl>
  </w:abstractNum>
  <w:abstractNum w:abstractNumId="1">
    <w:nsid w:val="8812AD73"/>
    <w:multiLevelType w:val="singleLevel"/>
    <w:tmpl w:val="8812AD73"/>
    <w:lvl w:ilvl="0" w:tentative="0">
      <w:start w:val="1"/>
      <w:numFmt w:val="chineseCounting"/>
      <w:suff w:val="nothing"/>
      <w:lvlText w:val="%1、"/>
      <w:lvlJc w:val="left"/>
      <w:rPr>
        <w:rFonts w:hint="eastAsia"/>
      </w:rPr>
    </w:lvl>
  </w:abstractNum>
  <w:abstractNum w:abstractNumId="2">
    <w:nsid w:val="98B37B87"/>
    <w:multiLevelType w:val="singleLevel"/>
    <w:tmpl w:val="98B37B87"/>
    <w:lvl w:ilvl="0" w:tentative="0">
      <w:start w:val="1"/>
      <w:numFmt w:val="chineseCounting"/>
      <w:suff w:val="nothing"/>
      <w:lvlText w:val="%1、"/>
      <w:lvlJc w:val="left"/>
      <w:rPr>
        <w:rFonts w:hint="eastAsia"/>
      </w:rPr>
    </w:lvl>
  </w:abstractNum>
  <w:abstractNum w:abstractNumId="3">
    <w:nsid w:val="AFFC2DCC"/>
    <w:multiLevelType w:val="singleLevel"/>
    <w:tmpl w:val="AFFC2DCC"/>
    <w:lvl w:ilvl="0" w:tentative="0">
      <w:start w:val="1"/>
      <w:numFmt w:val="chineseCounting"/>
      <w:suff w:val="nothing"/>
      <w:lvlText w:val="%1、"/>
      <w:lvlJc w:val="left"/>
      <w:rPr>
        <w:rFonts w:hint="eastAsia"/>
      </w:rPr>
    </w:lvl>
  </w:abstractNum>
  <w:abstractNum w:abstractNumId="4">
    <w:nsid w:val="346B08F4"/>
    <w:multiLevelType w:val="singleLevel"/>
    <w:tmpl w:val="346B08F4"/>
    <w:lvl w:ilvl="0" w:tentative="0">
      <w:start w:val="2"/>
      <w:numFmt w:val="decimal"/>
      <w:lvlText w:val="%1."/>
      <w:lvlJc w:val="left"/>
      <w:pPr>
        <w:tabs>
          <w:tab w:val="left" w:pos="312"/>
        </w:tabs>
        <w:ind w:left="480" w:leftChars="0" w:firstLine="0" w:firstLineChars="0"/>
      </w:p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64C23A6"/>
    <w:rsid w:val="09201287"/>
    <w:rsid w:val="0FC80124"/>
    <w:rsid w:val="136F98C7"/>
    <w:rsid w:val="17427E68"/>
    <w:rsid w:val="1755065F"/>
    <w:rsid w:val="1AFC29C9"/>
    <w:rsid w:val="1CA52F2E"/>
    <w:rsid w:val="1DFE370B"/>
    <w:rsid w:val="1E3630B9"/>
    <w:rsid w:val="20ED4D75"/>
    <w:rsid w:val="23CA35C4"/>
    <w:rsid w:val="26EEC2B5"/>
    <w:rsid w:val="29472309"/>
    <w:rsid w:val="2B406E77"/>
    <w:rsid w:val="2C2A0C43"/>
    <w:rsid w:val="2D1E73A5"/>
    <w:rsid w:val="32717154"/>
    <w:rsid w:val="34B63260"/>
    <w:rsid w:val="37FDA7E2"/>
    <w:rsid w:val="3A314D88"/>
    <w:rsid w:val="3A4B7556"/>
    <w:rsid w:val="3A746883"/>
    <w:rsid w:val="3CA15DE9"/>
    <w:rsid w:val="3FE61EE5"/>
    <w:rsid w:val="406508EE"/>
    <w:rsid w:val="408D6263"/>
    <w:rsid w:val="414D4DF7"/>
    <w:rsid w:val="41B40CEE"/>
    <w:rsid w:val="48317291"/>
    <w:rsid w:val="485F7024"/>
    <w:rsid w:val="48E70666"/>
    <w:rsid w:val="4920319C"/>
    <w:rsid w:val="4C6877E5"/>
    <w:rsid w:val="4D6A468D"/>
    <w:rsid w:val="4EA86137"/>
    <w:rsid w:val="501D1D5A"/>
    <w:rsid w:val="53824CCF"/>
    <w:rsid w:val="56CA7FD0"/>
    <w:rsid w:val="57FA38D1"/>
    <w:rsid w:val="58194A18"/>
    <w:rsid w:val="5BA60537"/>
    <w:rsid w:val="5F7D3333"/>
    <w:rsid w:val="61385890"/>
    <w:rsid w:val="621F5D6B"/>
    <w:rsid w:val="655710F8"/>
    <w:rsid w:val="687436E1"/>
    <w:rsid w:val="6DA45C50"/>
    <w:rsid w:val="6E855ABA"/>
    <w:rsid w:val="6E9A7825"/>
    <w:rsid w:val="6F670F9B"/>
    <w:rsid w:val="72CA3BE3"/>
    <w:rsid w:val="734E2633"/>
    <w:rsid w:val="737450E0"/>
    <w:rsid w:val="74054476"/>
    <w:rsid w:val="742F38C4"/>
    <w:rsid w:val="74AB66DC"/>
    <w:rsid w:val="74C4154C"/>
    <w:rsid w:val="75956FFF"/>
    <w:rsid w:val="77AA2D01"/>
    <w:rsid w:val="7A443D8C"/>
    <w:rsid w:val="7A6E2630"/>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6</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2025-10-10T03:39:14Z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