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center"/>
        <w:rPr>
          <w:rFonts w:hint="eastAsia" w:asciiTheme="majorEastAsia" w:hAnsiTheme="majorEastAsia" w:eastAsiaTheme="majorEastAsia" w:cstheme="majorEastAsia"/>
          <w:b/>
          <w:bCs/>
          <w:color w:val="auto"/>
          <w:sz w:val="44"/>
          <w:szCs w:val="44"/>
        </w:rPr>
      </w:pPr>
      <w:r>
        <w:rPr>
          <w:rFonts w:hint="eastAsia" w:asciiTheme="majorEastAsia" w:hAnsiTheme="majorEastAsia" w:eastAsiaTheme="majorEastAsia" w:cstheme="majorEastAsia"/>
          <w:b/>
          <w:bCs/>
          <w:color w:val="auto"/>
          <w:sz w:val="44"/>
          <w:szCs w:val="44"/>
        </w:rPr>
        <w:t>西藏那曲市色尼区古路镇幼儿园2024年度部门决算公开报告</w:t>
      </w:r>
    </w:p>
    <w:p>
      <w:pPr>
        <w:spacing w:line="578" w:lineRule="exact"/>
        <w:jc w:val="center"/>
        <w:rPr>
          <w:rFonts w:hint="eastAsia" w:ascii="黑体" w:hAnsi="ˎ̥" w:eastAsia="黑体"/>
          <w:b/>
          <w:color w:val="auto"/>
          <w:sz w:val="32"/>
          <w:szCs w:val="32"/>
        </w:rPr>
      </w:pPr>
    </w:p>
    <w:p>
      <w:pPr>
        <w:spacing w:line="578" w:lineRule="exact"/>
        <w:jc w:val="center"/>
        <w:rPr>
          <w:rFonts w:hint="eastAsia" w:ascii="黑体" w:hAnsi="黑体" w:eastAsia="黑体" w:cs="黑体"/>
          <w:color w:val="auto"/>
          <w:sz w:val="44"/>
          <w:szCs w:val="44"/>
        </w:rPr>
      </w:pPr>
      <w:bookmarkStart w:id="0" w:name="_Toc11440_WPSOffice_Type2"/>
      <w:r>
        <w:rPr>
          <w:rFonts w:hint="eastAsia" w:ascii="黑体" w:hAnsi="黑体" w:eastAsia="黑体" w:cs="黑体"/>
          <w:color w:val="auto"/>
          <w:sz w:val="44"/>
          <w:szCs w:val="44"/>
        </w:rPr>
        <w:t>目  录</w:t>
      </w:r>
    </w:p>
    <w:p>
      <w:pPr>
        <w:pStyle w:val="15"/>
        <w:tabs>
          <w:tab w:val="right" w:leader="dot" w:pos="8306"/>
        </w:tabs>
        <w:spacing w:line="578" w:lineRule="exact"/>
        <w:rPr>
          <w:rFonts w:hint="eastAsia"/>
          <w:color w:val="auto"/>
          <w:sz w:val="32"/>
          <w:szCs w:val="32"/>
        </w:rPr>
      </w:pPr>
      <w:r>
        <w:rPr>
          <w:color w:val="auto"/>
          <w:sz w:val="32"/>
          <w:szCs w:val="32"/>
        </w:rPr>
        <w:fldChar w:fldCharType="begin"/>
      </w:r>
      <w:r>
        <w:rPr>
          <w:color w:val="auto"/>
          <w:sz w:val="32"/>
          <w:szCs w:val="32"/>
        </w:rPr>
        <w:instrText xml:space="preserve"> HYPERLINK \l _Toc1704_WPSOffice_Level1 </w:instrText>
      </w:r>
      <w:r>
        <w:rPr>
          <w:color w:val="auto"/>
          <w:sz w:val="32"/>
          <w:szCs w:val="32"/>
        </w:rPr>
        <w:fldChar w:fldCharType="separate"/>
      </w:r>
      <w:r>
        <w:rPr>
          <w:rFonts w:hint="eastAsia" w:ascii="黑体" w:hAnsi="ˎ̥" w:eastAsia="黑体"/>
          <w:color w:val="auto"/>
          <w:sz w:val="32"/>
          <w:szCs w:val="32"/>
        </w:rPr>
        <w:t>第一部分 基本情况</w:t>
      </w:r>
      <w:r>
        <w:rPr>
          <w:color w:val="auto"/>
          <w:sz w:val="32"/>
          <w:szCs w:val="32"/>
        </w:rPr>
        <w:tab/>
      </w:r>
      <w:r>
        <w:rPr>
          <w:color w:val="auto"/>
          <w:sz w:val="32"/>
          <w:szCs w:val="32"/>
        </w:rPr>
        <w:fldChar w:fldCharType="end"/>
      </w:r>
      <w:r>
        <w:rPr>
          <w:rFonts w:hint="eastAsia"/>
          <w:color w:val="auto"/>
          <w:sz w:val="32"/>
          <w:szCs w:val="32"/>
        </w:rPr>
        <w:t>2</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_Toc20274_WPSOffice_Level2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一、部门（单位）职责</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2</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_Toc4833_WPSOffice_Level2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二、机构设置</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2</w:t>
      </w:r>
    </w:p>
    <w:p>
      <w:pPr>
        <w:pStyle w:val="15"/>
        <w:tabs>
          <w:tab w:val="right" w:leader="dot" w:pos="8306"/>
        </w:tabs>
        <w:spacing w:line="578" w:lineRule="exact"/>
        <w:rPr>
          <w:rFonts w:hint="eastAsia"/>
          <w:color w:val="auto"/>
          <w:sz w:val="32"/>
          <w:szCs w:val="32"/>
        </w:rPr>
      </w:pPr>
      <w:r>
        <w:rPr>
          <w:color w:val="auto"/>
          <w:sz w:val="32"/>
          <w:szCs w:val="32"/>
        </w:rPr>
        <w:fldChar w:fldCharType="begin"/>
      </w:r>
      <w:r>
        <w:rPr>
          <w:color w:val="auto"/>
          <w:sz w:val="32"/>
          <w:szCs w:val="32"/>
        </w:rPr>
        <w:instrText xml:space="preserve"> HYPERLINK \l _Toc28253_WPSOffice_Level1 </w:instrText>
      </w:r>
      <w:r>
        <w:rPr>
          <w:color w:val="auto"/>
          <w:sz w:val="32"/>
          <w:szCs w:val="32"/>
        </w:rPr>
        <w:fldChar w:fldCharType="separate"/>
      </w:r>
      <w:r>
        <w:rPr>
          <w:rFonts w:hint="eastAsia" w:ascii="黑体" w:hAnsi="ˎ̥" w:eastAsia="黑体"/>
          <w:color w:val="auto"/>
          <w:sz w:val="32"/>
          <w:szCs w:val="32"/>
        </w:rPr>
        <w:t xml:space="preserve">第二部分  </w:t>
      </w:r>
      <w:r>
        <w:rPr>
          <w:rFonts w:hint="default" w:ascii="黑体" w:hAnsi="ˎ̥" w:eastAsia="黑体"/>
          <w:color w:val="auto"/>
          <w:sz w:val="32"/>
          <w:szCs w:val="32"/>
          <w:lang w:val="en-US"/>
        </w:rPr>
        <w:t>2024</w:t>
      </w:r>
      <w:r>
        <w:rPr>
          <w:rFonts w:hint="eastAsia" w:ascii="黑体" w:hAnsi="ˎ̥" w:eastAsia="黑体"/>
          <w:color w:val="auto"/>
          <w:sz w:val="32"/>
          <w:szCs w:val="32"/>
        </w:rPr>
        <w:t>年度部门决算公开表</w:t>
      </w:r>
      <w:r>
        <w:rPr>
          <w:color w:val="auto"/>
          <w:sz w:val="32"/>
          <w:szCs w:val="32"/>
        </w:rPr>
        <w:tab/>
      </w:r>
      <w:r>
        <w:rPr>
          <w:color w:val="auto"/>
          <w:sz w:val="32"/>
          <w:szCs w:val="32"/>
        </w:rPr>
        <w:fldChar w:fldCharType="end"/>
      </w:r>
      <w:r>
        <w:rPr>
          <w:rFonts w:hint="eastAsia"/>
          <w:color w:val="auto"/>
          <w:sz w:val="32"/>
          <w:szCs w:val="32"/>
        </w:rPr>
        <w:t>2</w:t>
      </w:r>
    </w:p>
    <w:p>
      <w:pPr>
        <w:pStyle w:val="15"/>
        <w:tabs>
          <w:tab w:val="right" w:leader="dot" w:pos="8306"/>
        </w:tabs>
        <w:spacing w:line="578" w:lineRule="exact"/>
        <w:rPr>
          <w:rFonts w:hint="eastAsia"/>
          <w:color w:val="auto"/>
          <w:sz w:val="32"/>
          <w:szCs w:val="32"/>
        </w:rPr>
      </w:pPr>
      <w:r>
        <w:rPr>
          <w:color w:val="auto"/>
          <w:sz w:val="32"/>
          <w:szCs w:val="32"/>
        </w:rPr>
        <w:fldChar w:fldCharType="begin"/>
      </w:r>
      <w:r>
        <w:rPr>
          <w:color w:val="auto"/>
          <w:sz w:val="32"/>
          <w:szCs w:val="32"/>
        </w:rPr>
        <w:instrText xml:space="preserve"> HYPERLINK \l _Toc27590_WPSOffice_Level1 </w:instrText>
      </w:r>
      <w:r>
        <w:rPr>
          <w:color w:val="auto"/>
          <w:sz w:val="32"/>
          <w:szCs w:val="32"/>
        </w:rPr>
        <w:fldChar w:fldCharType="separate"/>
      </w:r>
      <w:r>
        <w:rPr>
          <w:rFonts w:hint="eastAsia" w:ascii="黑体" w:hAnsi="黑体" w:eastAsia="黑体" w:cs="黑体"/>
          <w:color w:val="auto"/>
          <w:sz w:val="32"/>
          <w:szCs w:val="32"/>
        </w:rPr>
        <w:t>第三部分</w:t>
      </w:r>
      <w:r>
        <w:rPr>
          <w:rFonts w:hint="eastAsia"/>
          <w:color w:val="auto"/>
          <w:sz w:val="32"/>
          <w:szCs w:val="32"/>
        </w:rPr>
        <w:t xml:space="preserve">  </w:t>
      </w:r>
      <w:r>
        <w:rPr>
          <w:rFonts w:hint="default" w:ascii="黑体" w:hAnsi="ˎ̥" w:eastAsia="黑体"/>
          <w:color w:val="auto"/>
          <w:sz w:val="32"/>
          <w:szCs w:val="32"/>
          <w:lang w:val="en-US"/>
        </w:rPr>
        <w:t>2024</w:t>
      </w:r>
      <w:r>
        <w:rPr>
          <w:rFonts w:hint="eastAsia" w:ascii="黑体" w:hAnsi="ˎ̥" w:eastAsia="黑体"/>
          <w:color w:val="auto"/>
          <w:sz w:val="32"/>
          <w:szCs w:val="32"/>
        </w:rPr>
        <w:t>年度部门决算情况说明</w:t>
      </w:r>
      <w:r>
        <w:rPr>
          <w:color w:val="auto"/>
          <w:sz w:val="32"/>
          <w:szCs w:val="32"/>
        </w:rPr>
        <w:tab/>
      </w:r>
      <w:r>
        <w:rPr>
          <w:color w:val="auto"/>
          <w:sz w:val="32"/>
          <w:szCs w:val="32"/>
        </w:rPr>
        <w:fldChar w:fldCharType="end"/>
      </w:r>
      <w:r>
        <w:rPr>
          <w:rFonts w:hint="eastAsia"/>
          <w:color w:val="auto"/>
          <w:sz w:val="32"/>
          <w:szCs w:val="32"/>
        </w:rPr>
        <w:t>3</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_Toc21737_WPSOffice_Level2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一、收入支出总体情况说明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3</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二、收入决算情况说明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4</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三、支出决算情况说明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4</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四、财政拨款收入支出决算</w:t>
      </w:r>
      <w:r>
        <w:rPr>
          <w:rFonts w:hint="eastAsia" w:ascii="仿宋" w:hAnsi="仿宋" w:eastAsia="仿宋" w:cs="仿宋"/>
          <w:bCs/>
          <w:color w:val="auto"/>
          <w:sz w:val="32"/>
          <w:szCs w:val="32"/>
          <w:lang w:val="en-US" w:eastAsia="zh-CN"/>
        </w:rPr>
        <w:t>总体</w:t>
      </w:r>
      <w:r>
        <w:rPr>
          <w:rFonts w:hint="eastAsia" w:ascii="仿宋" w:hAnsi="仿宋" w:eastAsia="仿宋" w:cs="仿宋"/>
          <w:bCs/>
          <w:color w:val="auto"/>
          <w:sz w:val="32"/>
          <w:szCs w:val="32"/>
        </w:rPr>
        <w:t>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4</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五、一般公共预算财政拨款支出决算情况说明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5</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六、一般公共预算财政拨款基本支出决算情况说明</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ab/>
      </w:r>
      <w:r>
        <w:rPr>
          <w:rFonts w:hint="eastAsia" w:ascii="仿宋" w:hAnsi="仿宋" w:eastAsia="仿宋" w:cs="仿宋"/>
          <w:color w:val="auto"/>
          <w:sz w:val="32"/>
          <w:szCs w:val="32"/>
        </w:rPr>
        <w:t>6</w:t>
      </w:r>
    </w:p>
    <w:p>
      <w:pPr>
        <w:pStyle w:val="16"/>
        <w:numPr>
          <w:ilvl w:val="0"/>
          <w:numId w:val="1"/>
        </w:numPr>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bCs/>
          <w:color w:val="auto"/>
          <w:sz w:val="32"/>
          <w:szCs w:val="32"/>
        </w:rPr>
        <w:t>政府性基金预算财政拨款支出决算情况说明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t>7</w:t>
      </w:r>
    </w:p>
    <w:p>
      <w:pPr>
        <w:pStyle w:val="16"/>
        <w:numPr>
          <w:ilvl w:val="0"/>
          <w:numId w:val="1"/>
        </w:numPr>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bCs/>
          <w:color w:val="auto"/>
          <w:sz w:val="32"/>
          <w:szCs w:val="32"/>
        </w:rPr>
        <w:t>国有资本经营预算财政拨款支出决算情况说明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t>8</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九、财政拨款“三公”经费支出决算情况说明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9</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十、预算绩效情况说明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11</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bCs/>
          <w:color w:val="auto"/>
          <w:sz w:val="32"/>
          <w:szCs w:val="32"/>
        </w:rPr>
        <w:t>十一、其他重要事项情况说明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t>13</w:t>
      </w:r>
    </w:p>
    <w:p>
      <w:pPr>
        <w:pStyle w:val="15"/>
        <w:tabs>
          <w:tab w:val="right" w:leader="dot" w:pos="8306"/>
        </w:tabs>
        <w:spacing w:line="578" w:lineRule="exact"/>
        <w:rPr>
          <w:rFonts w:hint="eastAsia" w:ascii="黑体" w:hAnsi="ˎ̥"/>
          <w:b/>
          <w:color w:val="auto"/>
          <w:sz w:val="32"/>
          <w:szCs w:val="32"/>
        </w:rPr>
      </w:pPr>
      <w:r>
        <w:rPr>
          <w:color w:val="auto"/>
          <w:sz w:val="32"/>
          <w:szCs w:val="32"/>
        </w:rPr>
        <w:fldChar w:fldCharType="begin"/>
      </w:r>
      <w:r>
        <w:rPr>
          <w:color w:val="auto"/>
          <w:sz w:val="32"/>
          <w:szCs w:val="32"/>
        </w:rPr>
        <w:instrText xml:space="preserve"> HYPERLINK \l _Toc15425_WPSOffice_Level1 </w:instrText>
      </w:r>
      <w:r>
        <w:rPr>
          <w:color w:val="auto"/>
          <w:sz w:val="32"/>
          <w:szCs w:val="32"/>
        </w:rPr>
        <w:fldChar w:fldCharType="separate"/>
      </w:r>
      <w:r>
        <w:rPr>
          <w:rFonts w:hint="eastAsia" w:ascii="黑体" w:hAnsi="ˎ̥" w:eastAsia="黑体"/>
          <w:color w:val="auto"/>
          <w:sz w:val="32"/>
          <w:szCs w:val="32"/>
        </w:rPr>
        <w:t>第四部分  名词解释</w:t>
      </w:r>
      <w:r>
        <w:rPr>
          <w:color w:val="auto"/>
          <w:sz w:val="32"/>
          <w:szCs w:val="32"/>
        </w:rPr>
        <w:tab/>
      </w:r>
      <w:bookmarkStart w:id="1" w:name="_Toc15425_WPSOffice_Level1Page"/>
      <w:r>
        <w:rPr>
          <w:color w:val="auto"/>
          <w:sz w:val="32"/>
          <w:szCs w:val="32"/>
        </w:rPr>
        <w:t>1</w:t>
      </w:r>
      <w:bookmarkEnd w:id="1"/>
      <w:r>
        <w:rPr>
          <w:color w:val="auto"/>
          <w:sz w:val="32"/>
          <w:szCs w:val="32"/>
        </w:rPr>
        <w:fldChar w:fldCharType="end"/>
      </w:r>
      <w:bookmarkEnd w:id="0"/>
      <w:r>
        <w:rPr>
          <w:rFonts w:hint="eastAsia"/>
          <w:color w:val="auto"/>
          <w:sz w:val="32"/>
          <w:szCs w:val="32"/>
        </w:rPr>
        <w:t>5</w:t>
      </w:r>
    </w:p>
    <w:p>
      <w:pPr>
        <w:spacing w:line="578" w:lineRule="exact"/>
        <w:jc w:val="both"/>
        <w:rPr>
          <w:rFonts w:hint="eastAsia" w:ascii="黑体" w:hAnsi="ˎ̥" w:eastAsia="黑体"/>
          <w:color w:val="auto"/>
          <w:sz w:val="32"/>
          <w:szCs w:val="32"/>
        </w:rPr>
      </w:pPr>
      <w:bookmarkStart w:id="2" w:name="_Toc22941_WPSOffice_Level1"/>
      <w:bookmarkStart w:id="3" w:name="_Toc1704_WPSOffice_Level1"/>
      <w:bookmarkStart w:id="4" w:name="_Toc23465_WPSOffice_Level1"/>
      <w:bookmarkStart w:id="5" w:name="_Toc10720_WPSOffice_Level1"/>
      <w:bookmarkStart w:id="6" w:name="_Toc10049_WPSOffice_Level1"/>
      <w:bookmarkStart w:id="7" w:name="_Toc32433_WPSOffice_Level1"/>
      <w:bookmarkStart w:id="8" w:name="_Toc24238_WPSOffice_Level2"/>
      <w:bookmarkStart w:id="9" w:name="_Toc20205_WPSOffice_Level2"/>
      <w:bookmarkStart w:id="10" w:name="_Toc32622_WPSOffice_Level2"/>
      <w:bookmarkStart w:id="11" w:name="_Toc26580_WPSOffice_Level2"/>
      <w:bookmarkStart w:id="12" w:name="_Toc20274_WPSOffice_Level2"/>
      <w:bookmarkStart w:id="13" w:name="_Toc14159_WPSOffice_Level2"/>
    </w:p>
    <w:p>
      <w:pPr>
        <w:spacing w:line="578" w:lineRule="exact"/>
        <w:jc w:val="center"/>
        <w:rPr>
          <w:rFonts w:hint="eastAsia" w:ascii="黑体" w:hAnsi="ˎ̥" w:eastAsia="黑体"/>
          <w:color w:val="auto"/>
          <w:sz w:val="32"/>
          <w:szCs w:val="32"/>
        </w:rPr>
      </w:pPr>
      <w:r>
        <w:rPr>
          <w:rFonts w:hint="eastAsia" w:ascii="黑体" w:hAnsi="ˎ̥" w:eastAsia="黑体"/>
          <w:color w:val="auto"/>
          <w:sz w:val="32"/>
          <w:szCs w:val="32"/>
        </w:rPr>
        <w:t xml:space="preserve">第一部分  </w:t>
      </w:r>
      <w:bookmarkEnd w:id="2"/>
      <w:bookmarkEnd w:id="3"/>
      <w:bookmarkEnd w:id="4"/>
      <w:bookmarkEnd w:id="5"/>
      <w:bookmarkEnd w:id="6"/>
      <w:bookmarkEnd w:id="7"/>
      <w:r>
        <w:rPr>
          <w:rFonts w:hint="eastAsia" w:ascii="黑体" w:hAnsi="ˎ̥" w:eastAsia="黑体"/>
          <w:color w:val="auto"/>
          <w:sz w:val="32"/>
          <w:szCs w:val="32"/>
        </w:rPr>
        <w:t>基本情况</w:t>
      </w:r>
    </w:p>
    <w:p>
      <w:pPr>
        <w:spacing w:line="578" w:lineRule="exact"/>
        <w:ind w:firstLine="640" w:firstLineChars="200"/>
        <w:rPr>
          <w:rFonts w:hint="eastAsia" w:ascii="楷体" w:hAnsi="楷体" w:eastAsia="楷体" w:cs="楷体"/>
          <w:color w:val="auto"/>
          <w:sz w:val="32"/>
          <w:szCs w:val="32"/>
        </w:rPr>
      </w:pPr>
    </w:p>
    <w:p>
      <w:pPr>
        <w:numPr>
          <w:ilvl w:val="0"/>
          <w:numId w:val="2"/>
        </w:numPr>
        <w:spacing w:line="578" w:lineRule="exact"/>
        <w:ind w:firstLine="640" w:firstLineChars="200"/>
        <w:rPr>
          <w:rFonts w:hint="eastAsia" w:ascii="仿宋" w:hAnsi="仿宋" w:eastAsia="仿宋" w:cs="仿宋"/>
          <w:color w:val="auto"/>
          <w:sz w:val="32"/>
          <w:szCs w:val="32"/>
        </w:rPr>
      </w:pPr>
      <w:r>
        <w:rPr>
          <w:rFonts w:hint="eastAsia" w:ascii="黑体" w:hAnsi="黑体" w:eastAsia="黑体" w:cs="黑体"/>
          <w:color w:val="auto"/>
          <w:sz w:val="32"/>
          <w:szCs w:val="32"/>
        </w:rPr>
        <w:t>部门</w:t>
      </w:r>
      <w:bookmarkEnd w:id="8"/>
      <w:r>
        <w:rPr>
          <w:rFonts w:hint="eastAsia" w:ascii="黑体" w:hAnsi="黑体" w:eastAsia="黑体" w:cs="黑体"/>
          <w:color w:val="auto"/>
          <w:sz w:val="32"/>
          <w:szCs w:val="32"/>
        </w:rPr>
        <w:t>（单位）职责</w:t>
      </w:r>
      <w:bookmarkEnd w:id="9"/>
      <w:bookmarkEnd w:id="10"/>
      <w:bookmarkEnd w:id="11"/>
      <w:bookmarkEnd w:id="12"/>
      <w:bookmarkEnd w:id="13"/>
    </w:p>
    <w:p>
      <w:pPr>
        <w:numPr>
          <w:numId w:val="0"/>
        </w:numPr>
        <w:spacing w:line="578" w:lineRule="exact"/>
        <w:ind w:firstLine="640" w:firstLineChars="200"/>
        <w:rPr>
          <w:rFonts w:hint="eastAsia" w:ascii="黑体" w:hAnsi="黑体" w:eastAsia="黑体" w:cs="黑体"/>
          <w:color w:val="auto"/>
          <w:sz w:val="32"/>
          <w:szCs w:val="32"/>
        </w:rPr>
      </w:pPr>
      <w:r>
        <w:rPr>
          <w:rFonts w:hint="eastAsia" w:ascii="仿宋" w:hAnsi="仿宋" w:eastAsia="仿宋" w:cs="仿宋"/>
          <w:color w:val="auto"/>
          <w:sz w:val="32"/>
          <w:szCs w:val="32"/>
        </w:rPr>
        <w:t>党建办（负责</w:t>
      </w:r>
      <w:r>
        <w:rPr>
          <w:rFonts w:hint="eastAsia" w:ascii="仿宋" w:hAnsi="仿宋" w:eastAsia="仿宋" w:cs="仿宋"/>
          <w:color w:val="auto"/>
          <w:sz w:val="32"/>
          <w:szCs w:val="32"/>
          <w:lang w:val="en-US" w:eastAsia="zh-CN"/>
        </w:rPr>
        <w:t>幼儿园内</w:t>
      </w:r>
      <w:r>
        <w:rPr>
          <w:rFonts w:hint="eastAsia" w:ascii="仿宋" w:hAnsi="仿宋" w:eastAsia="仿宋" w:cs="仿宋"/>
          <w:color w:val="auto"/>
          <w:sz w:val="32"/>
          <w:szCs w:val="32"/>
        </w:rPr>
        <w:t>的各项党建工作引领全局工作推进负责党建的日常工作，组织党建会议，制定和实施党建工作计划，管理党员发展和教育，收缴和管理党费，以及开展理论学习。）、</w:t>
      </w:r>
      <w:r>
        <w:rPr>
          <w:rFonts w:hint="eastAsia" w:ascii="仿宋" w:hAnsi="仿宋" w:eastAsia="仿宋" w:cs="仿宋"/>
          <w:color w:val="auto"/>
          <w:sz w:val="32"/>
          <w:szCs w:val="32"/>
          <w:lang w:val="en-US" w:eastAsia="zh-CN"/>
        </w:rPr>
        <w:t>保教</w:t>
      </w:r>
      <w:r>
        <w:rPr>
          <w:rFonts w:hint="eastAsia" w:ascii="仿宋" w:hAnsi="仿宋" w:eastAsia="仿宋" w:cs="仿宋"/>
          <w:color w:val="auto"/>
          <w:sz w:val="32"/>
          <w:szCs w:val="32"/>
        </w:rPr>
        <w:t>处（教学常规、师资管理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教研工作</w:t>
      </w:r>
      <w:r>
        <w:rPr>
          <w:rFonts w:hint="eastAsia" w:ascii="仿宋" w:hAnsi="仿宋" w:eastAsia="仿宋" w:cs="仿宋"/>
          <w:color w:val="auto"/>
          <w:sz w:val="32"/>
          <w:szCs w:val="32"/>
        </w:rPr>
        <w:t>）、德育办（德育工作、安全工作、</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电教负责园</w:t>
      </w:r>
      <w:r>
        <w:rPr>
          <w:rFonts w:hint="eastAsia" w:ascii="仿宋" w:hAnsi="仿宋" w:eastAsia="仿宋" w:cs="仿宋"/>
          <w:color w:val="auto"/>
          <w:sz w:val="32"/>
          <w:szCs w:val="32"/>
          <w:lang w:val="en-US" w:eastAsia="zh-CN"/>
        </w:rPr>
        <w:t>内</w:t>
      </w:r>
      <w:r>
        <w:rPr>
          <w:rFonts w:hint="eastAsia" w:ascii="仿宋" w:hAnsi="仿宋" w:eastAsia="仿宋" w:cs="仿宋"/>
          <w:color w:val="auto"/>
          <w:sz w:val="32"/>
          <w:szCs w:val="32"/>
        </w:rPr>
        <w:t>安全管理工作。后勤办（后勤工作、食堂、财务、公用经费、三包经费）、</w:t>
      </w:r>
      <w:r>
        <w:rPr>
          <w:rFonts w:hint="eastAsia" w:ascii="仿宋" w:hAnsi="仿宋" w:eastAsia="仿宋" w:cs="仿宋"/>
          <w:color w:val="auto"/>
          <w:sz w:val="32"/>
          <w:szCs w:val="32"/>
          <w:lang w:val="en-US" w:eastAsia="zh-CN"/>
        </w:rPr>
        <w:t>园</w:t>
      </w:r>
      <w:r>
        <w:rPr>
          <w:rFonts w:hint="eastAsia" w:ascii="仿宋" w:hAnsi="仿宋" w:eastAsia="仿宋" w:cs="仿宋"/>
          <w:color w:val="auto"/>
          <w:sz w:val="32"/>
          <w:szCs w:val="32"/>
        </w:rPr>
        <w:t>长办（配合党建管理</w:t>
      </w:r>
      <w:r>
        <w:rPr>
          <w:rFonts w:hint="eastAsia" w:ascii="仿宋" w:hAnsi="仿宋" w:eastAsia="仿宋" w:cs="仿宋"/>
          <w:color w:val="auto"/>
          <w:sz w:val="32"/>
          <w:szCs w:val="32"/>
          <w:lang w:val="en-US" w:eastAsia="zh-CN"/>
        </w:rPr>
        <w:t>保教</w:t>
      </w:r>
      <w:r>
        <w:rPr>
          <w:rFonts w:hint="eastAsia" w:ascii="仿宋" w:hAnsi="仿宋" w:eastAsia="仿宋" w:cs="仿宋"/>
          <w:color w:val="auto"/>
          <w:sz w:val="32"/>
          <w:szCs w:val="32"/>
        </w:rPr>
        <w:t>、后勤、德育</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电教 园内各科室</w:t>
      </w:r>
      <w:r>
        <w:rPr>
          <w:rFonts w:hint="eastAsia" w:ascii="仿宋" w:hAnsi="仿宋" w:eastAsia="仿宋" w:cs="仿宋"/>
          <w:color w:val="auto"/>
          <w:sz w:val="32"/>
          <w:szCs w:val="32"/>
        </w:rPr>
        <w:t>）</w:t>
      </w:r>
    </w:p>
    <w:p>
      <w:pPr>
        <w:spacing w:line="578" w:lineRule="exact"/>
        <w:ind w:firstLine="640" w:firstLineChars="200"/>
        <w:rPr>
          <w:rFonts w:hint="eastAsia" w:ascii="黑体" w:hAnsi="黑体" w:eastAsia="黑体" w:cs="黑体"/>
          <w:color w:val="auto"/>
          <w:sz w:val="32"/>
          <w:szCs w:val="32"/>
        </w:rPr>
      </w:pPr>
      <w:bookmarkStart w:id="14" w:name="_Toc6572_WPSOffice_Level2"/>
      <w:bookmarkStart w:id="15" w:name="_Toc24059_WPSOffice_Level2"/>
      <w:bookmarkStart w:id="16" w:name="_Toc17796_WPSOffice_Level2"/>
      <w:bookmarkStart w:id="17" w:name="_Toc4833_WPSOffice_Level2"/>
      <w:bookmarkStart w:id="18" w:name="_Toc24474_WPSOffice_Level2"/>
      <w:r>
        <w:rPr>
          <w:rFonts w:hint="eastAsia" w:ascii="黑体" w:hAnsi="黑体" w:eastAsia="黑体" w:cs="黑体"/>
          <w:color w:val="auto"/>
          <w:sz w:val="32"/>
          <w:szCs w:val="32"/>
        </w:rPr>
        <w:t>二、机构设置</w:t>
      </w:r>
      <w:bookmarkEnd w:id="14"/>
      <w:bookmarkEnd w:id="15"/>
      <w:bookmarkEnd w:id="16"/>
      <w:bookmarkEnd w:id="17"/>
      <w:bookmarkEnd w:id="18"/>
    </w:p>
    <w:p>
      <w:pPr>
        <w:tabs>
          <w:tab w:val="left" w:pos="1013"/>
        </w:tabs>
        <w:ind w:firstLine="640" w:firstLineChars="200"/>
        <w:jc w:val="left"/>
        <w:rPr>
          <w:rFonts w:hint="eastAsia" w:ascii="仿宋" w:hAnsi="仿宋" w:eastAsia="仿宋" w:cs="仿宋"/>
          <w:color w:val="auto"/>
          <w:sz w:val="32"/>
          <w:szCs w:val="32"/>
        </w:rPr>
      </w:pPr>
      <w:r>
        <w:rPr>
          <w:rFonts w:hint="eastAsia" w:ascii="仿宋_GB2312" w:hAnsi="ˎ̥" w:eastAsia="仿宋_GB2312"/>
          <w:color w:val="auto"/>
          <w:sz w:val="32"/>
          <w:szCs w:val="32"/>
        </w:rPr>
        <w:t>纳入</w:t>
      </w:r>
      <w:r>
        <w:rPr>
          <w:rFonts w:hint="eastAsia" w:ascii="仿宋_GB2312" w:hAnsi="ˎ̥" w:eastAsia="仿宋_GB2312"/>
          <w:color w:val="auto"/>
          <w:sz w:val="32"/>
          <w:szCs w:val="32"/>
          <w:lang w:val="en-US" w:eastAsia="zh-CN"/>
        </w:rPr>
        <w:t>色尼区古露镇幼儿园</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年度部门决算编制范围的单位共</w:t>
      </w:r>
      <w:r>
        <w:rPr>
          <w:rFonts w:hint="eastAsia" w:ascii="仿宋_GB2312" w:hAnsi="ˎ̥" w:eastAsia="仿宋_GB2312"/>
          <w:color w:val="auto"/>
          <w:sz w:val="32"/>
          <w:szCs w:val="32"/>
          <w:lang w:val="en-US" w:eastAsia="zh-CN"/>
        </w:rPr>
        <w:t>1</w:t>
      </w:r>
      <w:r>
        <w:rPr>
          <w:rFonts w:hint="eastAsia" w:ascii="仿宋_GB2312" w:hAnsi="ˎ̥" w:eastAsia="仿宋_GB2312"/>
          <w:color w:val="auto"/>
          <w:sz w:val="32"/>
          <w:szCs w:val="32"/>
        </w:rPr>
        <w:t>个，</w:t>
      </w:r>
      <w:r>
        <w:rPr>
          <w:rFonts w:hint="eastAsia" w:ascii="仿宋" w:hAnsi="仿宋" w:eastAsia="仿宋" w:cs="仿宋"/>
          <w:color w:val="auto"/>
          <w:sz w:val="32"/>
          <w:szCs w:val="32"/>
          <w:highlight w:val="none"/>
        </w:rPr>
        <w:t>统一社会信用代码：</w:t>
      </w:r>
      <w:r>
        <w:rPr>
          <w:rFonts w:hint="default" w:ascii="Times New Roman" w:hAnsi="Times New Roman" w:eastAsia="方正仿宋简体" w:cs="Times New Roman"/>
          <w:color w:val="auto"/>
          <w:sz w:val="32"/>
          <w:szCs w:val="32"/>
          <w:lang w:val="en-US" w:eastAsia="zh-CN"/>
        </w:rPr>
        <w:t>12542421MB0797953N</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单位代码：0</w:t>
      </w:r>
      <w:r>
        <w:rPr>
          <w:rFonts w:hint="eastAsia" w:ascii="仿宋" w:hAnsi="仿宋" w:eastAsia="仿宋" w:cs="仿宋"/>
          <w:color w:val="auto"/>
          <w:sz w:val="32"/>
          <w:szCs w:val="32"/>
          <w:highlight w:val="none"/>
          <w:lang w:val="en-US" w:eastAsia="zh-CN"/>
        </w:rPr>
        <w:t>14034</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单位预算级次：</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单位类型</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事业单位</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 xml:space="preserve"> 预算级次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县区级</w:t>
      </w:r>
      <w:r>
        <w:rPr>
          <w:rFonts w:hint="eastAsia" w:ascii="仿宋" w:hAnsi="仿宋" w:eastAsia="仿宋" w:cs="仿宋"/>
          <w:color w:val="auto"/>
          <w:sz w:val="32"/>
          <w:szCs w:val="32"/>
          <w:highlight w:val="none"/>
        </w:rPr>
        <w:t xml:space="preserve"> </w:t>
      </w:r>
      <w:r>
        <w:rPr>
          <w:rFonts w:hint="eastAsia" w:ascii="仿宋" w:hAnsi="仿宋" w:eastAsia="仿宋" w:cs="仿宋"/>
          <w:color w:val="auto"/>
          <w:sz w:val="32"/>
          <w:szCs w:val="32"/>
          <w:highlight w:val="none"/>
          <w:lang w:eastAsia="zh-CN"/>
        </w:rPr>
        <w:t>。</w:t>
      </w:r>
    </w:p>
    <w:p>
      <w:pPr>
        <w:spacing w:line="578" w:lineRule="exact"/>
        <w:ind w:firstLine="640" w:firstLineChars="200"/>
        <w:rPr>
          <w:rFonts w:hint="eastAsia" w:ascii="仿宋_GB2312" w:hAnsi="ˎ̥" w:eastAsia="仿宋_GB2312"/>
          <w:color w:val="auto"/>
          <w:sz w:val="32"/>
          <w:szCs w:val="32"/>
        </w:rPr>
      </w:pPr>
    </w:p>
    <w:p>
      <w:pPr>
        <w:spacing w:line="578" w:lineRule="exact"/>
        <w:ind w:firstLine="640" w:firstLineChars="200"/>
        <w:rPr>
          <w:rFonts w:hint="eastAsia" w:ascii="仿宋_GB2312" w:hAnsi="ˎ̥" w:eastAsia="仿宋_GB2312"/>
          <w:color w:val="auto"/>
          <w:sz w:val="32"/>
          <w:szCs w:val="32"/>
        </w:rPr>
      </w:pPr>
      <w:r>
        <w:rPr>
          <w:rFonts w:hint="eastAsia" w:ascii="仿宋_GB2312" w:hAnsi="ˎ̥" w:eastAsia="仿宋_GB2312"/>
          <w:color w:val="auto"/>
          <w:sz w:val="32"/>
          <w:szCs w:val="32"/>
        </w:rPr>
        <w:t>（注：如果是基层预算单位，没有下属单位的，可只说明单位内设机构即可。）</w:t>
      </w:r>
    </w:p>
    <w:p>
      <w:pPr>
        <w:spacing w:line="578" w:lineRule="exact"/>
        <w:jc w:val="center"/>
        <w:rPr>
          <w:rFonts w:hint="eastAsia" w:ascii="黑体" w:hAnsi="ˎ̥" w:eastAsia="黑体"/>
          <w:color w:val="auto"/>
          <w:sz w:val="32"/>
          <w:szCs w:val="32"/>
        </w:rPr>
      </w:pPr>
      <w:bookmarkStart w:id="19" w:name="_Toc15521_WPSOffice_Level1"/>
      <w:bookmarkStart w:id="20" w:name="_Toc30451_WPSOffice_Level1"/>
      <w:bookmarkStart w:id="21" w:name="_Toc6234_WPSOffice_Level1"/>
      <w:bookmarkStart w:id="22" w:name="_Toc8164_WPSOffice_Level1"/>
      <w:bookmarkStart w:id="23" w:name="_Toc30690_WPSOffice_Level1"/>
      <w:bookmarkStart w:id="24" w:name="_Toc28253_WPSOffice_Level1"/>
      <w:bookmarkStart w:id="25" w:name="_Toc32472_WPSOffice_Level2"/>
      <w:bookmarkStart w:id="26" w:name="_Toc4029_WPSOffice_Level2"/>
      <w:bookmarkStart w:id="27" w:name="_Toc11518_WPSOffice_Level2"/>
      <w:bookmarkStart w:id="28" w:name="_Toc32695_WPSOffice_Level2"/>
      <w:bookmarkStart w:id="29" w:name="_Toc8867_WPSOffice_Level2"/>
      <w:bookmarkStart w:id="30" w:name="_Toc6211_WPSOffice_Level2"/>
    </w:p>
    <w:p>
      <w:pPr>
        <w:spacing w:line="578" w:lineRule="exact"/>
        <w:jc w:val="center"/>
        <w:rPr>
          <w:rFonts w:hint="eastAsia" w:ascii="黑体" w:hAnsi="ˎ̥" w:eastAsia="黑体"/>
          <w:color w:val="auto"/>
          <w:sz w:val="32"/>
          <w:szCs w:val="32"/>
        </w:rPr>
      </w:pPr>
      <w:r>
        <w:rPr>
          <w:rFonts w:hint="eastAsia" w:ascii="黑体" w:hAnsi="ˎ̥" w:eastAsia="黑体"/>
          <w:color w:val="auto"/>
          <w:sz w:val="32"/>
          <w:szCs w:val="32"/>
        </w:rPr>
        <w:t xml:space="preserve">第二部分  </w:t>
      </w:r>
      <w:r>
        <w:rPr>
          <w:rFonts w:hint="default" w:ascii="黑体" w:hAnsi="ˎ̥" w:eastAsia="黑体"/>
          <w:color w:val="auto"/>
          <w:sz w:val="32"/>
          <w:szCs w:val="32"/>
          <w:lang w:val="en-US"/>
        </w:rPr>
        <w:t>2024</w:t>
      </w:r>
      <w:r>
        <w:rPr>
          <w:rFonts w:hint="eastAsia" w:ascii="黑体" w:hAnsi="ˎ̥" w:eastAsia="黑体"/>
          <w:color w:val="auto"/>
          <w:sz w:val="32"/>
          <w:szCs w:val="32"/>
        </w:rPr>
        <w:t>年度部门决算公开报表</w:t>
      </w:r>
      <w:bookmarkEnd w:id="19"/>
      <w:bookmarkEnd w:id="20"/>
      <w:bookmarkEnd w:id="21"/>
      <w:bookmarkEnd w:id="22"/>
      <w:bookmarkEnd w:id="23"/>
      <w:bookmarkEnd w:id="24"/>
    </w:p>
    <w:p>
      <w:pPr>
        <w:spacing w:line="578" w:lineRule="exact"/>
        <w:ind w:firstLine="645"/>
        <w:rPr>
          <w:rFonts w:hint="eastAsia" w:ascii="黑体" w:hAnsi="黑体" w:eastAsia="黑体" w:cs="黑体"/>
          <w:color w:val="auto"/>
          <w:sz w:val="32"/>
          <w:szCs w:val="32"/>
        </w:rPr>
      </w:pPr>
    </w:p>
    <w:p>
      <w:pPr>
        <w:spacing w:line="578" w:lineRule="exact"/>
        <w:ind w:firstLine="645"/>
        <w:rPr>
          <w:rFonts w:hint="eastAsia" w:ascii="黑体" w:hAnsi="黑体" w:eastAsia="黑体" w:cs="黑体"/>
          <w:color w:val="auto"/>
          <w:sz w:val="32"/>
          <w:szCs w:val="32"/>
        </w:rPr>
      </w:pPr>
      <w:r>
        <w:rPr>
          <w:rFonts w:hint="eastAsia" w:ascii="黑体" w:hAnsi="黑体" w:eastAsia="黑体" w:cs="黑体"/>
          <w:color w:val="auto"/>
          <w:sz w:val="32"/>
          <w:szCs w:val="32"/>
        </w:rPr>
        <w:t>一、收入支出决算公开表</w:t>
      </w:r>
      <w:bookmarkEnd w:id="25"/>
      <w:bookmarkEnd w:id="26"/>
      <w:bookmarkEnd w:id="27"/>
      <w:bookmarkEnd w:id="28"/>
      <w:bookmarkEnd w:id="29"/>
      <w:bookmarkEnd w:id="30"/>
    </w:p>
    <w:p>
      <w:pPr>
        <w:spacing w:line="578" w:lineRule="exact"/>
        <w:ind w:firstLine="645"/>
        <w:rPr>
          <w:rFonts w:hint="eastAsia" w:ascii="黑体" w:hAnsi="黑体" w:eastAsia="黑体" w:cs="黑体"/>
          <w:color w:val="auto"/>
          <w:sz w:val="32"/>
          <w:szCs w:val="32"/>
        </w:rPr>
      </w:pPr>
      <w:bookmarkStart w:id="31" w:name="_Toc14349_WPSOffice_Level2"/>
      <w:bookmarkStart w:id="32" w:name="_Toc26621_WPSOffice_Level2"/>
      <w:bookmarkStart w:id="33" w:name="_Toc30334_WPSOffice_Level2"/>
      <w:bookmarkStart w:id="34" w:name="_Toc25608_WPSOffice_Level2"/>
      <w:bookmarkStart w:id="35" w:name="_Toc23139_WPSOffice_Level2"/>
      <w:bookmarkStart w:id="36" w:name="_Toc28622_WPSOffice_Level2"/>
      <w:r>
        <w:rPr>
          <w:rFonts w:hint="eastAsia" w:ascii="黑体" w:hAnsi="黑体" w:eastAsia="黑体" w:cs="黑体"/>
          <w:color w:val="auto"/>
          <w:sz w:val="32"/>
          <w:szCs w:val="32"/>
        </w:rPr>
        <w:t>二、收入决算公开表</w:t>
      </w:r>
      <w:bookmarkEnd w:id="31"/>
      <w:bookmarkEnd w:id="32"/>
      <w:bookmarkEnd w:id="33"/>
      <w:bookmarkEnd w:id="34"/>
      <w:bookmarkEnd w:id="35"/>
      <w:bookmarkEnd w:id="36"/>
      <w:bookmarkStart w:id="37" w:name="_Toc17626_WPSOffice_Level2"/>
      <w:bookmarkStart w:id="38" w:name="_Toc14658_WPSOffice_Level2"/>
      <w:bookmarkStart w:id="39" w:name="_Toc5489_WPSOffice_Level2"/>
      <w:bookmarkStart w:id="40" w:name="_Toc17858_WPSOffice_Level2"/>
      <w:bookmarkStart w:id="41" w:name="_Toc13854_WPSOffice_Level2"/>
      <w:bookmarkStart w:id="42" w:name="_Toc3262_WPSOffice_Level2"/>
    </w:p>
    <w:p>
      <w:pPr>
        <w:spacing w:line="578" w:lineRule="exact"/>
        <w:ind w:firstLine="645"/>
        <w:rPr>
          <w:rFonts w:hint="eastAsia" w:ascii="黑体" w:hAnsi="黑体" w:eastAsia="黑体" w:cs="黑体"/>
          <w:color w:val="auto"/>
          <w:sz w:val="32"/>
          <w:szCs w:val="32"/>
        </w:rPr>
      </w:pPr>
      <w:r>
        <w:rPr>
          <w:rFonts w:hint="eastAsia" w:ascii="黑体" w:hAnsi="黑体" w:eastAsia="黑体" w:cs="黑体"/>
          <w:color w:val="auto"/>
          <w:sz w:val="32"/>
          <w:szCs w:val="32"/>
        </w:rPr>
        <w:t>三、支出决算公开表</w:t>
      </w:r>
      <w:bookmarkEnd w:id="37"/>
      <w:bookmarkEnd w:id="38"/>
      <w:bookmarkEnd w:id="39"/>
      <w:bookmarkEnd w:id="40"/>
      <w:bookmarkEnd w:id="41"/>
      <w:bookmarkEnd w:id="42"/>
      <w:bookmarkStart w:id="43" w:name="_Toc13701_WPSOffice_Level2"/>
      <w:bookmarkStart w:id="44" w:name="_Toc21415_WPSOffice_Level2"/>
      <w:bookmarkStart w:id="45" w:name="_Toc4265_WPSOffice_Level2"/>
      <w:bookmarkStart w:id="46" w:name="_Toc7988_WPSOffice_Level2"/>
      <w:bookmarkStart w:id="47" w:name="_Toc23591_WPSOffice_Level2"/>
      <w:bookmarkStart w:id="48" w:name="_Toc23493_WPSOffice_Level2"/>
    </w:p>
    <w:p>
      <w:pPr>
        <w:spacing w:line="578" w:lineRule="exact"/>
        <w:ind w:firstLine="645"/>
        <w:rPr>
          <w:rFonts w:hint="eastAsia" w:ascii="黑体" w:hAnsi="黑体" w:eastAsia="黑体" w:cs="黑体"/>
          <w:color w:val="auto"/>
          <w:sz w:val="32"/>
          <w:szCs w:val="32"/>
        </w:rPr>
      </w:pPr>
      <w:r>
        <w:rPr>
          <w:rFonts w:hint="eastAsia" w:ascii="黑体" w:hAnsi="黑体" w:eastAsia="黑体" w:cs="黑体"/>
          <w:color w:val="auto"/>
          <w:sz w:val="32"/>
          <w:szCs w:val="32"/>
        </w:rPr>
        <w:t>四、财政拨款收入支出决算公开表</w:t>
      </w:r>
      <w:bookmarkEnd w:id="43"/>
      <w:bookmarkEnd w:id="44"/>
      <w:bookmarkEnd w:id="45"/>
      <w:bookmarkEnd w:id="46"/>
      <w:bookmarkEnd w:id="47"/>
      <w:bookmarkEnd w:id="48"/>
    </w:p>
    <w:p>
      <w:pPr>
        <w:spacing w:line="578" w:lineRule="exact"/>
        <w:ind w:firstLine="645"/>
        <w:rPr>
          <w:rFonts w:hint="eastAsia" w:ascii="黑体" w:hAnsi="黑体" w:eastAsia="黑体" w:cs="黑体"/>
          <w:color w:val="auto"/>
          <w:sz w:val="32"/>
          <w:szCs w:val="32"/>
        </w:rPr>
      </w:pPr>
      <w:bookmarkStart w:id="49" w:name="_Toc25166_WPSOffice_Level2"/>
      <w:bookmarkStart w:id="50" w:name="_Toc7879_WPSOffice_Level2"/>
      <w:bookmarkStart w:id="51" w:name="_Toc23829_WPSOffice_Level2"/>
      <w:bookmarkStart w:id="52" w:name="_Toc22783_WPSOffice_Level2"/>
      <w:bookmarkStart w:id="53" w:name="_Toc2158_WPSOffice_Level2"/>
      <w:bookmarkStart w:id="54" w:name="_Toc13516_WPSOffice_Level2"/>
      <w:r>
        <w:rPr>
          <w:rFonts w:hint="eastAsia" w:ascii="黑体" w:hAnsi="黑体" w:eastAsia="黑体" w:cs="黑体"/>
          <w:color w:val="auto"/>
          <w:sz w:val="32"/>
          <w:szCs w:val="32"/>
        </w:rPr>
        <w:t>五、一般公共预算财政拨款收入支出决算</w:t>
      </w:r>
      <w:bookmarkEnd w:id="49"/>
      <w:bookmarkEnd w:id="50"/>
      <w:bookmarkEnd w:id="51"/>
      <w:bookmarkEnd w:id="52"/>
      <w:r>
        <w:rPr>
          <w:rFonts w:hint="eastAsia" w:ascii="黑体" w:hAnsi="黑体" w:eastAsia="黑体" w:cs="黑体"/>
          <w:color w:val="auto"/>
          <w:sz w:val="32"/>
          <w:szCs w:val="32"/>
        </w:rPr>
        <w:t>公开表</w:t>
      </w:r>
      <w:bookmarkEnd w:id="53"/>
      <w:bookmarkEnd w:id="54"/>
      <w:bookmarkStart w:id="55" w:name="_Toc2632_WPSOffice_Level2"/>
      <w:bookmarkStart w:id="56" w:name="_Toc5343_WPSOffice_Level2"/>
      <w:bookmarkStart w:id="57" w:name="_Toc17283_WPSOffice_Level2"/>
      <w:bookmarkStart w:id="58" w:name="_Toc25362_WPSOffice_Level2"/>
      <w:bookmarkStart w:id="59" w:name="_Toc8373_WPSOffice_Level2"/>
      <w:bookmarkStart w:id="60" w:name="_Toc17833_WPSOffice_Level2"/>
    </w:p>
    <w:p>
      <w:pPr>
        <w:spacing w:line="578" w:lineRule="exact"/>
        <w:ind w:firstLine="645"/>
        <w:rPr>
          <w:rFonts w:hint="eastAsia" w:ascii="黑体" w:hAnsi="黑体" w:eastAsia="黑体" w:cs="黑体"/>
          <w:color w:val="auto"/>
          <w:sz w:val="32"/>
          <w:szCs w:val="32"/>
        </w:rPr>
      </w:pPr>
      <w:r>
        <w:rPr>
          <w:rFonts w:hint="eastAsia" w:ascii="黑体" w:hAnsi="黑体" w:eastAsia="黑体" w:cs="黑体"/>
          <w:color w:val="auto"/>
          <w:sz w:val="32"/>
          <w:szCs w:val="32"/>
        </w:rPr>
        <w:t>六、一般公共预算财政拨款基本支出决算</w:t>
      </w:r>
      <w:bookmarkEnd w:id="55"/>
      <w:bookmarkEnd w:id="56"/>
      <w:bookmarkEnd w:id="57"/>
      <w:bookmarkEnd w:id="58"/>
      <w:bookmarkEnd w:id="59"/>
      <w:bookmarkEnd w:id="60"/>
      <w:r>
        <w:rPr>
          <w:rFonts w:hint="eastAsia" w:ascii="黑体" w:hAnsi="黑体" w:eastAsia="黑体" w:cs="黑体"/>
          <w:color w:val="auto"/>
          <w:sz w:val="32"/>
          <w:szCs w:val="32"/>
        </w:rPr>
        <w:t>公开表</w:t>
      </w:r>
    </w:p>
    <w:p>
      <w:pPr>
        <w:spacing w:line="578" w:lineRule="exact"/>
        <w:ind w:left="1118" w:leftChars="304" w:hanging="480" w:hangingChars="150"/>
        <w:rPr>
          <w:rFonts w:hint="eastAsia" w:ascii="黑体" w:hAnsi="黑体" w:eastAsia="黑体" w:cs="黑体"/>
          <w:color w:val="auto"/>
          <w:sz w:val="32"/>
          <w:szCs w:val="32"/>
        </w:rPr>
      </w:pPr>
      <w:bookmarkStart w:id="61" w:name="_Toc11799_WPSOffice_Level2"/>
      <w:bookmarkStart w:id="62" w:name="_Toc6020_WPSOffice_Level2"/>
      <w:bookmarkStart w:id="63" w:name="_Toc5594_WPSOffice_Level2"/>
      <w:bookmarkStart w:id="64" w:name="_Toc13345_WPSOffice_Level2"/>
      <w:bookmarkStart w:id="65" w:name="_Toc1533_WPSOffice_Level2"/>
      <w:bookmarkStart w:id="66" w:name="_Toc21310_WPSOffice_Level2"/>
      <w:r>
        <w:rPr>
          <w:rFonts w:hint="eastAsia" w:ascii="黑体" w:hAnsi="黑体" w:eastAsia="黑体" w:cs="黑体"/>
          <w:color w:val="auto"/>
          <w:sz w:val="32"/>
          <w:szCs w:val="32"/>
        </w:rPr>
        <w:t>七、政府性基金预算财政拨款收入支出决算</w:t>
      </w:r>
      <w:bookmarkEnd w:id="61"/>
      <w:bookmarkEnd w:id="62"/>
      <w:bookmarkEnd w:id="63"/>
      <w:bookmarkEnd w:id="64"/>
      <w:bookmarkEnd w:id="65"/>
      <w:bookmarkEnd w:id="66"/>
      <w:r>
        <w:rPr>
          <w:rFonts w:hint="eastAsia" w:ascii="黑体" w:hAnsi="黑体" w:eastAsia="黑体" w:cs="黑体"/>
          <w:color w:val="auto"/>
          <w:sz w:val="32"/>
          <w:szCs w:val="32"/>
        </w:rPr>
        <w:t>公开表</w:t>
      </w:r>
    </w:p>
    <w:p>
      <w:pPr>
        <w:spacing w:line="578" w:lineRule="exact"/>
        <w:ind w:left="1118" w:leftChars="304" w:hanging="480" w:hangingChars="150"/>
        <w:rPr>
          <w:rFonts w:hint="eastAsia" w:ascii="黑体" w:hAnsi="黑体" w:eastAsia="黑体" w:cs="黑体"/>
          <w:color w:val="auto"/>
          <w:sz w:val="32"/>
          <w:szCs w:val="32"/>
        </w:rPr>
      </w:pPr>
      <w:r>
        <w:rPr>
          <w:rFonts w:hint="eastAsia" w:ascii="黑体" w:hAnsi="黑体" w:eastAsia="黑体" w:cs="黑体"/>
          <w:color w:val="auto"/>
          <w:sz w:val="32"/>
          <w:szCs w:val="32"/>
        </w:rPr>
        <w:t>八、国有资本经营预算财政拨款收入支出决算公开表</w:t>
      </w:r>
    </w:p>
    <w:p>
      <w:pPr>
        <w:spacing w:line="578" w:lineRule="exact"/>
        <w:ind w:firstLine="640"/>
        <w:rPr>
          <w:rFonts w:hint="eastAsia" w:ascii="黑体" w:hAnsi="黑体" w:eastAsia="黑体" w:cs="黑体"/>
          <w:color w:val="auto"/>
          <w:sz w:val="32"/>
          <w:szCs w:val="32"/>
        </w:rPr>
      </w:pPr>
      <w:bookmarkStart w:id="67" w:name="_Toc1820_WPSOffice_Level2"/>
      <w:bookmarkStart w:id="68" w:name="_Toc9377_WPSOffice_Level2"/>
      <w:bookmarkStart w:id="69" w:name="_Toc19961_WPSOffice_Level2"/>
      <w:bookmarkStart w:id="70" w:name="_Toc29886_WPSOffice_Level2"/>
      <w:r>
        <w:rPr>
          <w:rFonts w:hint="eastAsia" w:ascii="黑体" w:hAnsi="黑体" w:eastAsia="黑体" w:cs="黑体"/>
          <w:color w:val="auto"/>
          <w:sz w:val="32"/>
          <w:szCs w:val="32"/>
        </w:rPr>
        <w:t>九、财政拨款“三公”经费支出决算</w:t>
      </w:r>
      <w:bookmarkEnd w:id="67"/>
      <w:bookmarkEnd w:id="68"/>
      <w:bookmarkEnd w:id="69"/>
      <w:bookmarkEnd w:id="70"/>
      <w:r>
        <w:rPr>
          <w:rFonts w:hint="eastAsia" w:ascii="黑体" w:hAnsi="黑体" w:eastAsia="黑体" w:cs="黑体"/>
          <w:color w:val="auto"/>
          <w:sz w:val="32"/>
          <w:szCs w:val="32"/>
        </w:rPr>
        <w:t>公开表</w:t>
      </w:r>
    </w:p>
    <w:p>
      <w:pPr>
        <w:spacing w:line="578" w:lineRule="exact"/>
        <w:ind w:firstLine="640"/>
        <w:rPr>
          <w:rFonts w:hint="eastAsia" w:ascii="仿宋" w:hAnsi="仿宋" w:eastAsia="仿宋" w:cs="仿宋"/>
          <w:color w:val="auto"/>
          <w:w w:val="100"/>
          <w:sz w:val="32"/>
          <w:szCs w:val="32"/>
        </w:rPr>
      </w:pPr>
      <w:r>
        <w:rPr>
          <w:rFonts w:hint="eastAsia" w:ascii="仿宋" w:hAnsi="仿宋" w:eastAsia="仿宋" w:cs="仿宋"/>
          <w:color w:val="auto"/>
          <w:w w:val="100"/>
          <w:sz w:val="32"/>
          <w:szCs w:val="32"/>
        </w:rPr>
        <w:t xml:space="preserve">以上报表见附件1。   </w:t>
      </w:r>
    </w:p>
    <w:p>
      <w:pPr>
        <w:spacing w:line="578" w:lineRule="exact"/>
        <w:rPr>
          <w:rFonts w:hint="eastAsia" w:ascii="黑体" w:hAnsi="黑体" w:eastAsia="黑体" w:cs="黑体"/>
          <w:color w:val="auto"/>
          <w:sz w:val="32"/>
          <w:szCs w:val="32"/>
        </w:rPr>
      </w:pPr>
    </w:p>
    <w:p>
      <w:pPr>
        <w:spacing w:line="578" w:lineRule="exact"/>
        <w:jc w:val="center"/>
        <w:rPr>
          <w:rFonts w:hint="eastAsia" w:ascii="黑体" w:hAnsi="ˎ̥" w:eastAsia="黑体"/>
          <w:color w:val="auto"/>
          <w:sz w:val="32"/>
          <w:szCs w:val="32"/>
        </w:rPr>
      </w:pPr>
      <w:bookmarkStart w:id="71" w:name="_Toc4402_WPSOffice_Level1"/>
      <w:bookmarkStart w:id="72" w:name="_Toc16686_WPSOffice_Level1"/>
      <w:bookmarkStart w:id="73" w:name="_Toc28629_WPSOffice_Level1"/>
      <w:bookmarkStart w:id="74" w:name="_Toc29683_WPSOffice_Level1"/>
      <w:bookmarkStart w:id="75" w:name="_Toc27590_WPSOffice_Level1"/>
      <w:bookmarkStart w:id="76" w:name="_Toc31264_WPSOffice_Level1"/>
      <w:r>
        <w:rPr>
          <w:rFonts w:hint="eastAsia" w:ascii="黑体" w:hAnsi="ˎ̥" w:eastAsia="黑体"/>
          <w:color w:val="auto"/>
          <w:sz w:val="32"/>
          <w:szCs w:val="32"/>
        </w:rPr>
        <w:t xml:space="preserve">第三部分  </w:t>
      </w:r>
      <w:r>
        <w:rPr>
          <w:rFonts w:hint="default" w:ascii="黑体" w:hAnsi="ˎ̥" w:eastAsia="黑体"/>
          <w:color w:val="auto"/>
          <w:sz w:val="32"/>
          <w:szCs w:val="32"/>
          <w:lang w:val="en-US"/>
        </w:rPr>
        <w:t>2024</w:t>
      </w:r>
      <w:r>
        <w:rPr>
          <w:rFonts w:hint="eastAsia" w:ascii="黑体" w:hAnsi="ˎ̥" w:eastAsia="黑体"/>
          <w:color w:val="auto"/>
          <w:sz w:val="32"/>
          <w:szCs w:val="32"/>
        </w:rPr>
        <w:t>年度部门决算情况说明</w:t>
      </w:r>
      <w:bookmarkEnd w:id="71"/>
      <w:bookmarkEnd w:id="72"/>
      <w:bookmarkEnd w:id="73"/>
      <w:bookmarkEnd w:id="74"/>
      <w:bookmarkEnd w:id="75"/>
      <w:bookmarkEnd w:id="76"/>
    </w:p>
    <w:p>
      <w:pPr>
        <w:spacing w:line="578" w:lineRule="exact"/>
        <w:jc w:val="center"/>
        <w:rPr>
          <w:rFonts w:hint="eastAsia" w:ascii="黑体" w:hAnsi="ˎ̥" w:eastAsia="黑体"/>
          <w:color w:val="auto"/>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黑体" w:hAnsi="黑体" w:eastAsia="黑体" w:cs="黑体"/>
          <w:bCs/>
          <w:color w:val="auto"/>
          <w:sz w:val="32"/>
          <w:szCs w:val="32"/>
        </w:rPr>
        <w:t>一、收入支出总体情况说明</w:t>
      </w:r>
      <w:r>
        <w:rPr>
          <w:rFonts w:hint="eastAsia" w:ascii="黑体" w:hAnsi="黑体" w:eastAsia="黑体" w:cs="黑体"/>
          <w:bCs/>
          <w:color w:val="auto"/>
          <w:sz w:val="32"/>
          <w:szCs w:val="32"/>
        </w:rPr>
        <w:br w:type="textWrapping"/>
      </w:r>
      <w:r>
        <w:rPr>
          <w:rFonts w:hint="eastAsia" w:ascii="楷体_GB2312" w:hAnsi="ˎ̥" w:eastAsia="楷体_GB2312"/>
          <w:color w:val="auto"/>
          <w:sz w:val="32"/>
          <w:szCs w:val="32"/>
        </w:rPr>
        <w:t xml:space="preserve">    </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年度收入总计</w:t>
      </w:r>
      <w:r>
        <w:rPr>
          <w:rFonts w:hint="eastAsia" w:ascii="仿宋_GB2312" w:hAnsi="ˎ̥" w:eastAsia="仿宋_GB2312"/>
          <w:color w:val="auto"/>
          <w:sz w:val="32"/>
          <w:szCs w:val="32"/>
          <w:lang w:val="en-US" w:eastAsia="zh-CN"/>
        </w:rPr>
        <w:t>597.31</w:t>
      </w:r>
      <w:r>
        <w:rPr>
          <w:rFonts w:hint="eastAsia" w:ascii="仿宋_GB2312" w:hAnsi="ˎ̥" w:eastAsia="仿宋_GB2312"/>
          <w:color w:val="auto"/>
          <w:sz w:val="32"/>
          <w:szCs w:val="32"/>
        </w:rPr>
        <w:t>万元，支出总计</w:t>
      </w:r>
      <w:r>
        <w:rPr>
          <w:rFonts w:hint="eastAsia" w:ascii="仿宋_GB2312" w:hAnsi="ˎ̥" w:eastAsia="仿宋_GB2312"/>
          <w:color w:val="auto"/>
          <w:sz w:val="32"/>
          <w:szCs w:val="32"/>
          <w:lang w:val="en-US" w:eastAsia="zh-CN"/>
        </w:rPr>
        <w:t>597.31</w:t>
      </w:r>
      <w:r>
        <w:rPr>
          <w:rFonts w:hint="eastAsia" w:ascii="仿宋_GB2312" w:hAnsi="ˎ̥" w:eastAsia="仿宋_GB2312"/>
          <w:color w:val="auto"/>
          <w:sz w:val="32"/>
          <w:szCs w:val="32"/>
        </w:rPr>
        <w:t>万元，与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年度相比，收入、支出总计各增加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%。主要原因：一是</w:t>
      </w:r>
      <w:r>
        <w:rPr>
          <w:rFonts w:hint="eastAsia" w:ascii="仿宋_GB2312" w:hAnsi="ˎ̥" w:eastAsia="仿宋_GB2312"/>
          <w:color w:val="auto"/>
          <w:sz w:val="32"/>
          <w:szCs w:val="32"/>
          <w:lang w:val="en-US" w:eastAsia="zh-CN"/>
        </w:rPr>
        <w:t>本部门属于新增单位</w:t>
      </w:r>
      <w:r>
        <w:rPr>
          <w:rFonts w:hint="eastAsia" w:ascii="仿宋_GB2312" w:hAnsi="ˎ̥" w:eastAsia="仿宋_GB2312"/>
          <w:color w:val="auto"/>
          <w:sz w:val="32"/>
          <w:szCs w:val="32"/>
        </w:rPr>
        <w:t>；二是</w:t>
      </w:r>
      <w:r>
        <w:rPr>
          <w:rFonts w:hint="eastAsia" w:ascii="仿宋_GB2312" w:hAnsi="ˎ̥" w:eastAsia="仿宋_GB2312"/>
          <w:color w:val="auto"/>
          <w:sz w:val="32"/>
          <w:szCs w:val="32"/>
          <w:lang w:val="en-US" w:eastAsia="zh-CN"/>
        </w:rPr>
        <w:t>无上年数据</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color w:val="auto"/>
          <w:sz w:val="32"/>
          <w:szCs w:val="32"/>
        </w:rPr>
      </w:pPr>
      <w:r>
        <w:rPr>
          <w:rFonts w:hint="eastAsia" w:ascii="楷体" w:hAnsi="楷体" w:eastAsia="楷体" w:cs="楷体"/>
          <w:color w:val="auto"/>
          <w:sz w:val="32"/>
          <w:szCs w:val="32"/>
        </w:rPr>
        <w:t>（一</w:t>
      </w:r>
      <w:r>
        <w:rPr>
          <w:rFonts w:ascii="楷体" w:hAnsi="楷体" w:eastAsia="楷体" w:cs="楷体"/>
          <w:color w:val="auto"/>
          <w:sz w:val="32"/>
          <w:szCs w:val="32"/>
        </w:rPr>
        <w:t>）</w:t>
      </w:r>
      <w:r>
        <w:rPr>
          <w:rFonts w:hint="eastAsia" w:ascii="楷体" w:hAnsi="楷体" w:eastAsia="楷体" w:cs="楷体"/>
          <w:color w:val="auto"/>
          <w:sz w:val="32"/>
          <w:szCs w:val="32"/>
        </w:rPr>
        <w:t>收入</w:t>
      </w:r>
      <w:r>
        <w:rPr>
          <w:rFonts w:ascii="楷体" w:hAnsi="楷体" w:eastAsia="楷体" w:cs="楷体"/>
          <w:color w:val="auto"/>
          <w:sz w:val="32"/>
          <w:szCs w:val="32"/>
        </w:rPr>
        <w:t>总计</w:t>
      </w:r>
      <w:r>
        <w:rPr>
          <w:rFonts w:hint="eastAsia" w:ascii="楷体" w:hAnsi="楷体" w:eastAsia="楷体" w:cs="楷体"/>
          <w:color w:val="auto"/>
          <w:sz w:val="32"/>
          <w:szCs w:val="32"/>
        </w:rPr>
        <w:t>主要</w:t>
      </w:r>
      <w:r>
        <w:rPr>
          <w:rFonts w:ascii="楷体" w:hAnsi="楷体" w:eastAsia="楷体" w:cs="楷体"/>
          <w:color w:val="auto"/>
          <w:sz w:val="32"/>
          <w:szCs w:val="32"/>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本年</w:t>
      </w:r>
      <w:r>
        <w:rPr>
          <w:rFonts w:ascii="仿宋_GB2312" w:hAnsi="ˎ̥" w:eastAsia="仿宋_GB2312"/>
          <w:color w:val="auto"/>
          <w:sz w:val="32"/>
          <w:szCs w:val="32"/>
        </w:rPr>
        <w:t>收入</w:t>
      </w:r>
      <w:r>
        <w:rPr>
          <w:rFonts w:hint="eastAsia" w:ascii="仿宋_GB2312" w:hAnsi="ˎ̥" w:eastAsia="仿宋_GB2312"/>
          <w:color w:val="auto"/>
          <w:sz w:val="32"/>
          <w:szCs w:val="32"/>
          <w:lang w:val="en-US" w:eastAsia="zh-CN"/>
        </w:rPr>
        <w:t>597.31</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使用非财政拨款结余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万元，主要原因是</w:t>
      </w:r>
      <w:r>
        <w:rPr>
          <w:rFonts w:hint="eastAsia" w:ascii="仿宋_GB2312" w:hAnsi="ˎ̥" w:eastAsia="仿宋_GB2312"/>
          <w:color w:val="auto"/>
          <w:sz w:val="32"/>
          <w:szCs w:val="32"/>
          <w:lang w:val="en-US" w:eastAsia="zh-CN"/>
        </w:rPr>
        <w:t>本部门属于新增单位，无上年数据</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年初结转结余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万元，主要是</w:t>
      </w:r>
      <w:r>
        <w:rPr>
          <w:rFonts w:hint="eastAsia" w:ascii="仿宋_GB2312" w:hAnsi="ˎ̥" w:eastAsia="仿宋_GB2312"/>
          <w:color w:val="auto"/>
          <w:sz w:val="32"/>
          <w:szCs w:val="32"/>
          <w:lang w:val="en-US" w:eastAsia="zh-CN"/>
        </w:rPr>
        <w:t>本部门属于新增单位，无上年数据</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（简要说明结转结余形成或来源），较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本部门属于新增单位，无上年数据</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lang w:eastAsia="zh-CN"/>
        </w:rPr>
      </w:pPr>
      <w:r>
        <w:rPr>
          <w:rFonts w:hint="eastAsia" w:ascii="楷体" w:hAnsi="楷体" w:eastAsia="楷体" w:cs="楷体"/>
          <w:color w:val="auto"/>
          <w:sz w:val="32"/>
          <w:szCs w:val="32"/>
        </w:rPr>
        <w:t>（二</w:t>
      </w:r>
      <w:r>
        <w:rPr>
          <w:rFonts w:ascii="楷体" w:hAnsi="楷体" w:eastAsia="楷体" w:cs="楷体"/>
          <w:color w:val="auto"/>
          <w:sz w:val="32"/>
          <w:szCs w:val="32"/>
        </w:rPr>
        <w:t>）</w:t>
      </w:r>
      <w:r>
        <w:rPr>
          <w:rFonts w:hint="eastAsia" w:ascii="楷体" w:hAnsi="楷体" w:eastAsia="楷体" w:cs="楷体"/>
          <w:color w:val="auto"/>
          <w:sz w:val="32"/>
          <w:szCs w:val="32"/>
        </w:rPr>
        <w:t>支出</w:t>
      </w:r>
      <w:r>
        <w:rPr>
          <w:rFonts w:ascii="楷体" w:hAnsi="楷体" w:eastAsia="楷体" w:cs="楷体"/>
          <w:color w:val="auto"/>
          <w:sz w:val="32"/>
          <w:szCs w:val="32"/>
        </w:rPr>
        <w:t>总计</w:t>
      </w:r>
      <w:r>
        <w:rPr>
          <w:rFonts w:hint="eastAsia" w:ascii="楷体" w:hAnsi="楷体" w:eastAsia="楷体" w:cs="楷体"/>
          <w:color w:val="auto"/>
          <w:sz w:val="32"/>
          <w:szCs w:val="32"/>
        </w:rPr>
        <w:t>主要</w:t>
      </w:r>
      <w:r>
        <w:rPr>
          <w:rFonts w:ascii="楷体" w:hAnsi="楷体" w:eastAsia="楷体" w:cs="楷体"/>
          <w:color w:val="auto"/>
          <w:sz w:val="32"/>
          <w:szCs w:val="32"/>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本年支出</w:t>
      </w:r>
      <w:r>
        <w:rPr>
          <w:rFonts w:hint="eastAsia" w:ascii="仿宋_GB2312" w:hAnsi="ˎ̥" w:eastAsia="仿宋_GB2312"/>
          <w:color w:val="auto"/>
          <w:sz w:val="32"/>
          <w:szCs w:val="32"/>
          <w:lang w:val="en-US" w:eastAsia="zh-CN"/>
        </w:rPr>
        <w:t>597.31</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结余分配</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万元，主要是（资金分配去向），较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本部门属于新增单位，无上年数据</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年末结转结余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万元，主要是（简要说明结转结余的构成），较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本部门属于新增单位，无上年数据</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 xml:space="preserve">   （注</w:t>
      </w:r>
      <w:r>
        <w:rPr>
          <w:rFonts w:ascii="仿宋_GB2312" w:hAnsi="ˎ̥" w:eastAsia="仿宋_GB2312"/>
          <w:color w:val="auto"/>
          <w:sz w:val="32"/>
          <w:szCs w:val="32"/>
        </w:rPr>
        <w:t>：</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年度相关决算数据可取自附件财决公开01、02</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lang w:val="en-US" w:eastAsia="zh-CN"/>
        </w:rPr>
        <w:t>03</w:t>
      </w:r>
      <w:r>
        <w:rPr>
          <w:rFonts w:hint="eastAsia" w:ascii="仿宋_GB2312" w:hAnsi="ˎ̥" w:eastAsia="仿宋_GB2312"/>
          <w:color w:val="auto"/>
          <w:sz w:val="32"/>
          <w:szCs w:val="32"/>
        </w:rPr>
        <w:t>表；</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年度相关决算数据可取自</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年度部门决算报表财决01表《收入支出决算总表》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黑体" w:hAnsi="黑体" w:eastAsia="黑体" w:cs="黑体"/>
          <w:bCs/>
          <w:color w:val="auto"/>
          <w:sz w:val="32"/>
          <w:szCs w:val="32"/>
        </w:rPr>
        <w:t>二、收入决算情况说明</w:t>
      </w:r>
      <w:r>
        <w:rPr>
          <w:rFonts w:hint="eastAsia" w:ascii="黑体" w:hAnsi="黑体" w:eastAsia="黑体" w:cs="黑体"/>
          <w:bCs/>
          <w:color w:val="auto"/>
          <w:sz w:val="32"/>
          <w:szCs w:val="32"/>
        </w:rPr>
        <w:br w:type="textWrapping"/>
      </w:r>
      <w:r>
        <w:rPr>
          <w:rFonts w:hint="eastAsia" w:ascii="仿宋_GB2312" w:hAnsi="ˎ̥" w:eastAsia="仿宋_GB2312"/>
          <w:color w:val="auto"/>
          <w:sz w:val="32"/>
          <w:szCs w:val="32"/>
        </w:rPr>
        <w:t xml:space="preserve">    本年收入</w:t>
      </w:r>
      <w:r>
        <w:rPr>
          <w:rFonts w:hint="eastAsia" w:ascii="仿宋_GB2312" w:hAnsi="ˎ̥" w:eastAsia="仿宋_GB2312"/>
          <w:color w:val="auto"/>
          <w:sz w:val="32"/>
          <w:szCs w:val="32"/>
          <w:lang w:val="en-US" w:eastAsia="zh-CN"/>
        </w:rPr>
        <w:t>597.31</w:t>
      </w:r>
      <w:r>
        <w:rPr>
          <w:rFonts w:hint="eastAsia" w:ascii="仿宋_GB2312" w:hAnsi="ˎ̥" w:eastAsia="仿宋_GB2312"/>
          <w:color w:val="auto"/>
          <w:sz w:val="32"/>
          <w:szCs w:val="32"/>
        </w:rPr>
        <w:t>万元，其中：财政拨款收入</w:t>
      </w:r>
      <w:r>
        <w:rPr>
          <w:rFonts w:hint="eastAsia" w:ascii="仿宋_GB2312" w:hAnsi="ˎ̥" w:eastAsia="仿宋_GB2312"/>
          <w:color w:val="auto"/>
          <w:sz w:val="32"/>
          <w:szCs w:val="32"/>
          <w:lang w:val="en-US" w:eastAsia="zh-CN"/>
        </w:rPr>
        <w:t>597.31</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%；上级补助收入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%；事业收入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%；经营收入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%；附属单位上缴收入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%；其他收入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left="412" w:leftChars="196"/>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 xml:space="preserve">  （注</w:t>
      </w:r>
      <w:r>
        <w:rPr>
          <w:rFonts w:ascii="仿宋_GB2312" w:hAnsi="ˎ̥" w:eastAsia="仿宋_GB2312"/>
          <w:color w:val="auto"/>
          <w:sz w:val="32"/>
          <w:szCs w:val="32"/>
        </w:rPr>
        <w:t>：</w:t>
      </w:r>
      <w:r>
        <w:rPr>
          <w:rFonts w:hint="eastAsia" w:ascii="仿宋_GB2312" w:hAnsi="ˎ̥" w:eastAsia="仿宋_GB2312"/>
          <w:color w:val="auto"/>
          <w:sz w:val="32"/>
          <w:szCs w:val="32"/>
        </w:rPr>
        <w:t>上述各项收入数可取自财决公开02表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三、支出决算情况说明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本年支出</w:t>
      </w:r>
      <w:r>
        <w:rPr>
          <w:rFonts w:hint="eastAsia" w:ascii="仿宋_GB2312" w:hAnsi="ˎ̥" w:eastAsia="仿宋_GB2312"/>
          <w:color w:val="auto"/>
          <w:sz w:val="32"/>
          <w:szCs w:val="32"/>
          <w:lang w:val="en-US" w:eastAsia="zh-CN"/>
        </w:rPr>
        <w:t>597.31</w:t>
      </w:r>
      <w:r>
        <w:rPr>
          <w:rFonts w:hint="eastAsia" w:ascii="仿宋_GB2312" w:hAnsi="ˎ̥" w:eastAsia="仿宋_GB2312"/>
          <w:color w:val="auto"/>
          <w:sz w:val="32"/>
          <w:szCs w:val="32"/>
        </w:rPr>
        <w:t>万元，其中：基本支出</w:t>
      </w:r>
      <w:r>
        <w:rPr>
          <w:rFonts w:hint="eastAsia" w:ascii="仿宋_GB2312" w:hAnsi="ˎ̥" w:eastAsia="仿宋_GB2312"/>
          <w:color w:val="auto"/>
          <w:sz w:val="32"/>
          <w:szCs w:val="32"/>
          <w:lang w:val="en-US" w:eastAsia="zh-CN"/>
        </w:rPr>
        <w:t>597.31</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%；项目支出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%；上缴上级支出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%；经营支出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%；对附属单位补助支出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上述各项支出数可取自财决公开03表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四、财政拨款收入支出决算总体情况说明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年度财政拨款收入</w:t>
      </w:r>
      <w:r>
        <w:rPr>
          <w:rFonts w:hint="eastAsia" w:ascii="仿宋_GB2312" w:hAnsi="ˎ̥" w:eastAsia="仿宋_GB2312"/>
          <w:color w:val="auto"/>
          <w:sz w:val="32"/>
          <w:szCs w:val="32"/>
          <w:lang w:val="en-US" w:eastAsia="zh-CN"/>
        </w:rPr>
        <w:t>597.31</w:t>
      </w:r>
      <w:r>
        <w:rPr>
          <w:rFonts w:hint="eastAsia" w:ascii="仿宋_GB2312" w:hAnsi="ˎ̥" w:eastAsia="仿宋_GB2312"/>
          <w:color w:val="auto"/>
          <w:sz w:val="32"/>
          <w:szCs w:val="32"/>
        </w:rPr>
        <w:t>万元，支出</w:t>
      </w:r>
      <w:r>
        <w:rPr>
          <w:rFonts w:hint="eastAsia" w:ascii="仿宋_GB2312" w:hAnsi="ˎ̥" w:eastAsia="仿宋_GB2312"/>
          <w:color w:val="auto"/>
          <w:sz w:val="32"/>
          <w:szCs w:val="32"/>
          <w:lang w:val="en-US" w:eastAsia="zh-CN"/>
        </w:rPr>
        <w:t>597.31</w:t>
      </w:r>
      <w:r>
        <w:rPr>
          <w:rFonts w:hint="eastAsia" w:ascii="仿宋_GB2312" w:hAnsi="ˎ̥" w:eastAsia="仿宋_GB2312"/>
          <w:color w:val="auto"/>
          <w:sz w:val="32"/>
          <w:szCs w:val="32"/>
        </w:rPr>
        <w:t>万元。与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年度相比，财政拨款收入增加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%，主要原因：一是</w:t>
      </w:r>
      <w:r>
        <w:rPr>
          <w:rFonts w:hint="eastAsia" w:ascii="仿宋_GB2312" w:hAnsi="ˎ̥" w:eastAsia="仿宋_GB2312"/>
          <w:color w:val="auto"/>
          <w:sz w:val="32"/>
          <w:szCs w:val="32"/>
          <w:lang w:val="en-US" w:eastAsia="zh-CN"/>
        </w:rPr>
        <w:t>本部门属于新增单位，</w:t>
      </w:r>
      <w:r>
        <w:rPr>
          <w:rFonts w:hint="eastAsia" w:ascii="仿宋_GB2312" w:hAnsi="ˎ̥" w:eastAsia="仿宋_GB2312"/>
          <w:color w:val="auto"/>
          <w:sz w:val="32"/>
          <w:szCs w:val="32"/>
        </w:rPr>
        <w:t>；二是</w:t>
      </w:r>
      <w:r>
        <w:rPr>
          <w:rFonts w:hint="eastAsia" w:ascii="仿宋_GB2312" w:hAnsi="ˎ̥" w:eastAsia="仿宋_GB2312"/>
          <w:color w:val="auto"/>
          <w:sz w:val="32"/>
          <w:szCs w:val="32"/>
          <w:lang w:val="en-US" w:eastAsia="zh-CN"/>
        </w:rPr>
        <w:t>无上年数据</w:t>
      </w:r>
      <w:r>
        <w:rPr>
          <w:rFonts w:hint="eastAsia" w:ascii="仿宋_GB2312" w:hAnsi="ˎ̥" w:eastAsia="仿宋_GB2312"/>
          <w:color w:val="auto"/>
          <w:sz w:val="32"/>
          <w:szCs w:val="32"/>
        </w:rPr>
        <w:t>。支出增加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%，主要原因：一是</w:t>
      </w:r>
      <w:r>
        <w:rPr>
          <w:rFonts w:hint="eastAsia" w:ascii="仿宋_GB2312" w:hAnsi="ˎ̥" w:eastAsia="仿宋_GB2312"/>
          <w:color w:val="auto"/>
          <w:sz w:val="32"/>
          <w:szCs w:val="32"/>
          <w:lang w:val="en-US" w:eastAsia="zh-CN"/>
        </w:rPr>
        <w:t>本部门属于新增单位</w:t>
      </w:r>
      <w:r>
        <w:rPr>
          <w:rFonts w:hint="eastAsia" w:ascii="仿宋_GB2312" w:hAnsi="ˎ̥" w:eastAsia="仿宋_GB2312"/>
          <w:color w:val="auto"/>
          <w:sz w:val="32"/>
          <w:szCs w:val="32"/>
        </w:rPr>
        <w:t>；二是</w:t>
      </w:r>
      <w:r>
        <w:rPr>
          <w:rFonts w:hint="eastAsia" w:ascii="仿宋_GB2312" w:hAnsi="ˎ̥" w:eastAsia="仿宋_GB2312"/>
          <w:color w:val="auto"/>
          <w:sz w:val="32"/>
          <w:szCs w:val="32"/>
          <w:lang w:val="en-US" w:eastAsia="zh-CN"/>
        </w:rPr>
        <w:t>无上年数据</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财政拨款年初结转结余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万元，主要是（简要说明结转结余形成或来源），较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本部门属于新增单位，无上年数据</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财政拨款年末结转结余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万元，主要是（简要说明结转结余的</w:t>
      </w:r>
      <w:r>
        <w:rPr>
          <w:rFonts w:ascii="仿宋_GB2312" w:hAnsi="ˎ̥" w:eastAsia="仿宋_GB2312"/>
          <w:color w:val="auto"/>
          <w:sz w:val="32"/>
          <w:szCs w:val="32"/>
        </w:rPr>
        <w:t>构成</w:t>
      </w:r>
      <w:r>
        <w:rPr>
          <w:rFonts w:hint="eastAsia" w:ascii="仿宋_GB2312" w:hAnsi="ˎ̥" w:eastAsia="仿宋_GB2312"/>
          <w:color w:val="auto"/>
          <w:sz w:val="32"/>
          <w:szCs w:val="32"/>
        </w:rPr>
        <w:t>），较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本部门属于新增单位，无上年数据</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年度决算相关数据可取自财决公开04表。</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年度决算相关数据可取自</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年度部门决算报表财决01-1表《财政拨款收入支出决算总表》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五、一般公共预算财政拨款支出决算情况说明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bookmarkStart w:id="77" w:name="_Toc9989_WPSOffice_Level2"/>
      <w:bookmarkStart w:id="78" w:name="_Toc19665_WPSOffice_Level2"/>
      <w:bookmarkStart w:id="79" w:name="_Toc23005_WPSOffice_Level2"/>
      <w:bookmarkStart w:id="80" w:name="_Toc13694_WPSOffice_Level2"/>
      <w:bookmarkStart w:id="81" w:name="_Toc21737_WPSOffice_Level2"/>
      <w:bookmarkStart w:id="82" w:name="_Toc17398_WPSOffice_Level2"/>
      <w:r>
        <w:rPr>
          <w:rFonts w:hint="eastAsia" w:ascii="楷体" w:hAnsi="楷体" w:eastAsia="楷体" w:cs="楷体"/>
          <w:color w:val="auto"/>
          <w:sz w:val="32"/>
          <w:szCs w:val="32"/>
        </w:rPr>
        <w:t>（一）一般公共预算财政拨款支出决算总体情况</w:t>
      </w:r>
      <w:bookmarkEnd w:id="77"/>
      <w:bookmarkEnd w:id="78"/>
      <w:bookmarkEnd w:id="79"/>
      <w:bookmarkEnd w:id="80"/>
      <w:bookmarkEnd w:id="81"/>
      <w:bookmarkEnd w:id="82"/>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w:t>
      </w:r>
      <w:r>
        <w:rPr>
          <w:rFonts w:hint="eastAsia" w:ascii="仿宋_GB2312" w:hAnsi="ˎ̥" w:eastAsia="仿宋_GB2312"/>
          <w:color w:val="auto"/>
          <w:sz w:val="32"/>
          <w:szCs w:val="32"/>
          <w:lang w:val="en-US" w:eastAsia="zh-CN"/>
        </w:rPr>
        <w:t>597.31</w:t>
      </w:r>
      <w:r>
        <w:rPr>
          <w:rFonts w:hint="eastAsia" w:ascii="仿宋_GB2312" w:hAnsi="ˎ̥" w:eastAsia="仿宋_GB2312"/>
          <w:color w:val="auto"/>
          <w:sz w:val="32"/>
          <w:szCs w:val="32"/>
        </w:rPr>
        <w:t>万元，占本年支出合计的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年度相比，一般公共预算财政拨款支出增加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bookmarkStart w:id="83" w:name="_Toc18793_WPSOffice_Level2"/>
      <w:bookmarkStart w:id="84" w:name="_Toc2711_WPSOffice_Level2"/>
      <w:bookmarkStart w:id="85" w:name="_Toc19535_WPSOffice_Level2"/>
      <w:bookmarkStart w:id="86" w:name="_Toc27767_WPSOffice_Level2"/>
      <w:bookmarkStart w:id="87" w:name="_Toc23864_WPSOffice_Level2"/>
      <w:bookmarkStart w:id="88" w:name="_Toc19075_WPSOffice_Level2"/>
      <w:r>
        <w:rPr>
          <w:rFonts w:hint="eastAsia" w:ascii="仿宋_GB2312" w:hAnsi="ˎ̥" w:eastAsia="仿宋_GB2312"/>
          <w:color w:val="auto"/>
          <w:sz w:val="32"/>
          <w:szCs w:val="32"/>
          <w:lang w:val="en-US" w:eastAsia="zh-CN"/>
        </w:rPr>
        <w:t>本部门属于新增单位，无上年数据</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（二）一般公共预算财政拨款支出决算结构情况</w:t>
      </w:r>
      <w:bookmarkEnd w:id="83"/>
      <w:bookmarkEnd w:id="84"/>
      <w:bookmarkEnd w:id="85"/>
      <w:bookmarkEnd w:id="86"/>
      <w:bookmarkEnd w:id="87"/>
      <w:bookmarkEnd w:id="88"/>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w:t>
      </w:r>
      <w:r>
        <w:rPr>
          <w:rFonts w:hint="eastAsia" w:ascii="仿宋_GB2312" w:hAnsi="ˎ̥" w:eastAsia="仿宋_GB2312"/>
          <w:color w:val="auto"/>
          <w:sz w:val="32"/>
          <w:szCs w:val="32"/>
          <w:lang w:val="en-US" w:eastAsia="zh-CN"/>
        </w:rPr>
        <w:t>597.31</w:t>
      </w:r>
      <w:r>
        <w:rPr>
          <w:rFonts w:hint="eastAsia" w:ascii="仿宋_GB2312" w:hAnsi="ˎ̥" w:eastAsia="仿宋_GB2312"/>
          <w:color w:val="auto"/>
          <w:sz w:val="32"/>
          <w:szCs w:val="32"/>
        </w:rPr>
        <w:t>万元，主要用于以下方面：</w:t>
      </w:r>
      <w:r>
        <w:rPr>
          <w:rFonts w:hint="eastAsia" w:ascii="仿宋_GB2312" w:hAnsi="ˎ̥" w:eastAsia="仿宋_GB2312"/>
          <w:color w:val="auto"/>
          <w:sz w:val="32"/>
          <w:szCs w:val="32"/>
          <w:lang w:val="en-US" w:eastAsia="zh-CN"/>
        </w:rPr>
        <w:t>教育</w:t>
      </w:r>
      <w:r>
        <w:rPr>
          <w:rFonts w:hint="eastAsia" w:ascii="仿宋_GB2312" w:hAnsi="ˎ̥" w:eastAsia="仿宋_GB2312"/>
          <w:b/>
          <w:color w:val="auto"/>
          <w:sz w:val="32"/>
          <w:szCs w:val="32"/>
        </w:rPr>
        <w:t>（类）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519.45</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83</w:t>
      </w:r>
      <w:r>
        <w:rPr>
          <w:rFonts w:hint="eastAsia" w:ascii="仿宋_GB2312" w:hAnsi="ˎ̥" w:eastAsia="仿宋_GB2312"/>
          <w:color w:val="auto"/>
          <w:sz w:val="32"/>
          <w:szCs w:val="32"/>
        </w:rPr>
        <w:t>%；</w:t>
      </w:r>
      <w:r>
        <w:rPr>
          <w:rFonts w:hint="eastAsia" w:ascii="仿宋_GB2312" w:hAnsi="ˎ̥" w:eastAsia="仿宋_GB2312"/>
          <w:b/>
          <w:color w:val="auto"/>
          <w:sz w:val="32"/>
          <w:szCs w:val="32"/>
        </w:rPr>
        <w:t>社会保障和就业（类）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45.57</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9.9</w:t>
      </w:r>
      <w:r>
        <w:rPr>
          <w:rFonts w:hint="eastAsia" w:ascii="仿宋_GB2312" w:hAnsi="ˎ̥" w:eastAsia="仿宋_GB2312"/>
          <w:color w:val="auto"/>
          <w:sz w:val="32"/>
          <w:szCs w:val="32"/>
        </w:rPr>
        <w:t>%；</w:t>
      </w:r>
      <w:r>
        <w:rPr>
          <w:rFonts w:hint="eastAsia" w:ascii="仿宋_GB2312" w:hAnsi="ˎ̥" w:eastAsia="仿宋_GB2312"/>
          <w:b/>
          <w:bCs/>
          <w:color w:val="auto"/>
          <w:sz w:val="32"/>
          <w:szCs w:val="32"/>
          <w:lang w:val="en-US" w:eastAsia="zh-CN"/>
        </w:rPr>
        <w:t>卫生健康（类）</w:t>
      </w:r>
      <w:r>
        <w:rPr>
          <w:rFonts w:hint="eastAsia" w:ascii="仿宋_GB2312" w:hAnsi="ˎ̥" w:eastAsia="仿宋_GB2312"/>
          <w:color w:val="auto"/>
          <w:sz w:val="32"/>
          <w:szCs w:val="32"/>
          <w:lang w:val="en-US" w:eastAsia="zh-CN"/>
        </w:rPr>
        <w:t>支出21.14</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4.6</w:t>
      </w:r>
      <w:r>
        <w:rPr>
          <w:rFonts w:hint="eastAsia" w:ascii="仿宋_GB2312" w:hAnsi="ˎ̥" w:eastAsia="仿宋_GB2312"/>
          <w:color w:val="auto"/>
          <w:sz w:val="32"/>
          <w:szCs w:val="32"/>
        </w:rPr>
        <w:t>%；</w:t>
      </w:r>
      <w:r>
        <w:rPr>
          <w:rFonts w:hint="eastAsia" w:ascii="仿宋_GB2312" w:hAnsi="ˎ̥" w:eastAsia="仿宋_GB2312"/>
          <w:b/>
          <w:bCs/>
          <w:color w:val="auto"/>
          <w:sz w:val="32"/>
          <w:szCs w:val="32"/>
        </w:rPr>
        <w:t>住房保障（类）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11.15</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2.5</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根据各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单位实际支出涉及的支出功能分类类级科目填列</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bookmarkStart w:id="89" w:name="_Toc9502_WPSOffice_Level2"/>
      <w:bookmarkStart w:id="90" w:name="_Toc25136_WPSOffice_Level2"/>
      <w:bookmarkStart w:id="91" w:name="_Toc29364_WPSOffice_Level2"/>
      <w:bookmarkStart w:id="92" w:name="_Toc15415_WPSOffice_Level2"/>
      <w:bookmarkStart w:id="93" w:name="_Toc22318_WPSOffice_Level2"/>
      <w:bookmarkStart w:id="94" w:name="_Toc21701_WPSOffice_Level2"/>
      <w:r>
        <w:rPr>
          <w:rFonts w:hint="eastAsia" w:ascii="楷体" w:hAnsi="楷体" w:eastAsia="楷体" w:cs="楷体"/>
          <w:color w:val="auto"/>
          <w:sz w:val="32"/>
          <w:szCs w:val="32"/>
        </w:rPr>
        <w:t>（三）一般公共预算财政拨款支出决算具体情况</w:t>
      </w:r>
      <w:bookmarkEnd w:id="89"/>
      <w:bookmarkEnd w:id="90"/>
      <w:bookmarkEnd w:id="91"/>
      <w:bookmarkEnd w:id="92"/>
      <w:bookmarkEnd w:id="93"/>
      <w:bookmarkEnd w:id="94"/>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年度一般公共预算财政拨款支出年初预算为</w:t>
      </w:r>
      <w:r>
        <w:rPr>
          <w:rFonts w:hint="eastAsia" w:ascii="仿宋_GB2312" w:hAnsi="ˎ̥" w:eastAsia="仿宋_GB2312"/>
          <w:color w:val="auto"/>
          <w:sz w:val="32"/>
          <w:szCs w:val="32"/>
          <w:lang w:val="en-US" w:eastAsia="zh-CN"/>
        </w:rPr>
        <w:t>597.31</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597.31</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%。其中：</w:t>
      </w:r>
    </w:p>
    <w:p>
      <w:pPr>
        <w:keepNext w:val="0"/>
        <w:keepLines w:val="0"/>
        <w:pageBreakBefore w:val="0"/>
        <w:widowControl w:val="0"/>
        <w:numPr>
          <w:ilvl w:val="0"/>
          <w:numId w:val="3"/>
        </w:numPr>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b/>
          <w:bCs/>
          <w:color w:val="auto"/>
          <w:sz w:val="32"/>
          <w:szCs w:val="32"/>
        </w:rPr>
      </w:pPr>
      <w:r>
        <w:rPr>
          <w:rFonts w:hint="eastAsia" w:ascii="仿宋_GB2312" w:hAnsi="ˎ̥" w:eastAsia="仿宋_GB2312"/>
          <w:b/>
          <w:bCs/>
          <w:color w:val="auto"/>
          <w:sz w:val="32"/>
          <w:szCs w:val="32"/>
          <w:lang w:val="en-US" w:eastAsia="zh-CN"/>
        </w:rPr>
        <w:t xml:space="preserve"> 教育</w:t>
      </w:r>
      <w:r>
        <w:rPr>
          <w:rFonts w:hint="eastAsia" w:ascii="仿宋_GB2312" w:hAnsi="ˎ̥" w:eastAsia="仿宋_GB2312"/>
          <w:b/>
          <w:bCs/>
          <w:color w:val="auto"/>
          <w:sz w:val="32"/>
          <w:szCs w:val="32"/>
        </w:rPr>
        <w:t>（类）</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519.45</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519.45</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%。决算数</w:t>
      </w:r>
      <w:r>
        <w:rPr>
          <w:rFonts w:hint="eastAsia" w:ascii="仿宋_GB2312" w:hAnsi="ˎ̥" w:eastAsia="仿宋_GB2312"/>
          <w:color w:val="auto"/>
          <w:sz w:val="32"/>
          <w:szCs w:val="32"/>
          <w:lang w:val="en-US" w:eastAsia="zh-CN"/>
        </w:rPr>
        <w:t>等于</w:t>
      </w:r>
      <w:r>
        <w:rPr>
          <w:rFonts w:hint="eastAsia" w:ascii="仿宋_GB2312" w:hAnsi="ˎ̥" w:eastAsia="仿宋_GB2312"/>
          <w:color w:val="auto"/>
          <w:sz w:val="32"/>
          <w:szCs w:val="32"/>
        </w:rPr>
        <w:t>预算数的主要原因：一是</w:t>
      </w:r>
      <w:r>
        <w:rPr>
          <w:rFonts w:hint="eastAsia" w:ascii="仿宋_GB2312" w:hAnsi="ˎ̥" w:eastAsia="仿宋_GB2312"/>
          <w:color w:val="auto"/>
          <w:sz w:val="32"/>
          <w:szCs w:val="32"/>
          <w:lang w:val="en-US" w:eastAsia="zh-CN"/>
        </w:rPr>
        <w:t>本部门属于新增单位</w:t>
      </w:r>
      <w:r>
        <w:rPr>
          <w:rFonts w:hint="eastAsia" w:ascii="仿宋_GB2312" w:hAnsi="ˎ̥" w:eastAsia="仿宋_GB2312"/>
          <w:color w:val="auto"/>
          <w:sz w:val="32"/>
          <w:szCs w:val="32"/>
        </w:rPr>
        <w:t>；二是</w:t>
      </w:r>
      <w:r>
        <w:rPr>
          <w:rFonts w:hint="eastAsia" w:ascii="仿宋_GB2312" w:hAnsi="ˎ̥" w:eastAsia="仿宋_GB2312"/>
          <w:color w:val="auto"/>
          <w:sz w:val="32"/>
          <w:szCs w:val="32"/>
          <w:lang w:val="en-US" w:eastAsia="zh-CN"/>
        </w:rPr>
        <w:t>无上年数据</w:t>
      </w:r>
      <w:r>
        <w:rPr>
          <w:rFonts w:hint="eastAsia" w:ascii="仿宋_GB2312" w:hAnsi="ˎ̥" w:eastAsia="仿宋_GB2312"/>
          <w:color w:val="auto"/>
          <w:sz w:val="32"/>
          <w:szCs w:val="32"/>
        </w:rPr>
        <w:t>。</w:t>
      </w:r>
    </w:p>
    <w:p>
      <w:pPr>
        <w:keepNext w:val="0"/>
        <w:keepLines w:val="0"/>
        <w:pageBreakBefore w:val="0"/>
        <w:widowControl w:val="0"/>
        <w:numPr>
          <w:ilvl w:val="0"/>
          <w:numId w:val="4"/>
        </w:numPr>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社会保障和就业（类）</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320" w:firstLineChars="1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45.57</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45.57</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%。决算数</w:t>
      </w:r>
      <w:r>
        <w:rPr>
          <w:rFonts w:hint="eastAsia" w:ascii="仿宋_GB2312" w:hAnsi="ˎ̥" w:eastAsia="仿宋_GB2312"/>
          <w:color w:val="auto"/>
          <w:sz w:val="32"/>
          <w:szCs w:val="32"/>
          <w:lang w:val="en-US" w:eastAsia="zh-CN"/>
        </w:rPr>
        <w:t>等于</w:t>
      </w:r>
      <w:r>
        <w:rPr>
          <w:rFonts w:hint="eastAsia" w:ascii="仿宋_GB2312" w:hAnsi="ˎ̥" w:eastAsia="仿宋_GB2312"/>
          <w:color w:val="auto"/>
          <w:sz w:val="32"/>
          <w:szCs w:val="32"/>
        </w:rPr>
        <w:t>预算数的主要原因：一是</w:t>
      </w:r>
      <w:r>
        <w:rPr>
          <w:rFonts w:hint="eastAsia" w:ascii="仿宋_GB2312" w:hAnsi="ˎ̥" w:eastAsia="仿宋_GB2312"/>
          <w:color w:val="auto"/>
          <w:sz w:val="32"/>
          <w:szCs w:val="32"/>
          <w:lang w:val="en-US" w:eastAsia="zh-CN"/>
        </w:rPr>
        <w:t>本部门属于新增单位</w:t>
      </w:r>
      <w:r>
        <w:rPr>
          <w:rFonts w:hint="eastAsia" w:ascii="仿宋_GB2312" w:hAnsi="ˎ̥" w:eastAsia="仿宋_GB2312"/>
          <w:color w:val="auto"/>
          <w:sz w:val="32"/>
          <w:szCs w:val="32"/>
        </w:rPr>
        <w:t>；二是</w:t>
      </w:r>
      <w:r>
        <w:rPr>
          <w:rFonts w:hint="eastAsia" w:ascii="仿宋_GB2312" w:hAnsi="ˎ̥" w:eastAsia="仿宋_GB2312"/>
          <w:color w:val="auto"/>
          <w:sz w:val="32"/>
          <w:szCs w:val="32"/>
          <w:lang w:val="en-US" w:eastAsia="zh-CN"/>
        </w:rPr>
        <w:t>无上年数据</w:t>
      </w:r>
      <w:r>
        <w:rPr>
          <w:rFonts w:hint="eastAsia" w:ascii="仿宋_GB2312" w:hAnsi="ˎ̥" w:eastAsia="仿宋_GB2312"/>
          <w:color w:val="auto"/>
          <w:sz w:val="32"/>
          <w:szCs w:val="32"/>
        </w:rPr>
        <w:t>。</w:t>
      </w:r>
    </w:p>
    <w:p>
      <w:pPr>
        <w:keepNext w:val="0"/>
        <w:keepLines w:val="0"/>
        <w:pageBreakBefore w:val="0"/>
        <w:widowControl w:val="0"/>
        <w:numPr>
          <w:ilvl w:val="0"/>
          <w:numId w:val="4"/>
        </w:numPr>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bCs/>
          <w:color w:val="auto"/>
          <w:sz w:val="32"/>
          <w:szCs w:val="32"/>
          <w:lang w:val="en-US" w:eastAsia="zh-CN"/>
        </w:rPr>
        <w:t>卫生健康（类）</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320" w:firstLineChars="1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21.14</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21.14</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%。决算数</w:t>
      </w:r>
      <w:r>
        <w:rPr>
          <w:rFonts w:hint="eastAsia" w:ascii="仿宋_GB2312" w:hAnsi="ˎ̥" w:eastAsia="仿宋_GB2312"/>
          <w:color w:val="auto"/>
          <w:sz w:val="32"/>
          <w:szCs w:val="32"/>
          <w:lang w:val="en-US" w:eastAsia="zh-CN"/>
        </w:rPr>
        <w:t>等于</w:t>
      </w:r>
      <w:r>
        <w:rPr>
          <w:rFonts w:hint="eastAsia" w:ascii="仿宋_GB2312" w:hAnsi="ˎ̥" w:eastAsia="仿宋_GB2312"/>
          <w:color w:val="auto"/>
          <w:sz w:val="32"/>
          <w:szCs w:val="32"/>
        </w:rPr>
        <w:t>预算数的主要原因：一是</w:t>
      </w:r>
      <w:r>
        <w:rPr>
          <w:rFonts w:hint="eastAsia" w:ascii="仿宋_GB2312" w:hAnsi="ˎ̥" w:eastAsia="仿宋_GB2312"/>
          <w:color w:val="auto"/>
          <w:sz w:val="32"/>
          <w:szCs w:val="32"/>
          <w:lang w:val="en-US" w:eastAsia="zh-CN"/>
        </w:rPr>
        <w:t>本部门属于新增单位</w:t>
      </w:r>
      <w:r>
        <w:rPr>
          <w:rFonts w:hint="eastAsia" w:ascii="仿宋_GB2312" w:hAnsi="ˎ̥" w:eastAsia="仿宋_GB2312"/>
          <w:color w:val="auto"/>
          <w:sz w:val="32"/>
          <w:szCs w:val="32"/>
        </w:rPr>
        <w:t>；二是</w:t>
      </w:r>
      <w:r>
        <w:rPr>
          <w:rFonts w:hint="eastAsia" w:ascii="仿宋_GB2312" w:hAnsi="ˎ̥" w:eastAsia="仿宋_GB2312"/>
          <w:color w:val="auto"/>
          <w:sz w:val="32"/>
          <w:szCs w:val="32"/>
          <w:lang w:val="en-US" w:eastAsia="zh-CN"/>
        </w:rPr>
        <w:t>无上年数据</w:t>
      </w:r>
      <w:r>
        <w:rPr>
          <w:rFonts w:hint="eastAsia" w:ascii="仿宋_GB2312" w:hAnsi="ˎ̥" w:eastAsia="仿宋_GB2312"/>
          <w:color w:val="auto"/>
          <w:sz w:val="32"/>
          <w:szCs w:val="32"/>
        </w:rPr>
        <w:t>。</w:t>
      </w:r>
    </w:p>
    <w:p>
      <w:pPr>
        <w:keepNext w:val="0"/>
        <w:keepLines w:val="0"/>
        <w:pageBreakBefore w:val="0"/>
        <w:widowControl w:val="0"/>
        <w:numPr>
          <w:ilvl w:val="0"/>
          <w:numId w:val="4"/>
        </w:numPr>
        <w:kinsoku/>
        <w:wordWrap/>
        <w:overflowPunct/>
        <w:topLinePunct w:val="0"/>
        <w:autoSpaceDE/>
        <w:autoSpaceDN/>
        <w:bidi w:val="0"/>
        <w:adjustRightInd/>
        <w:snapToGrid/>
        <w:spacing w:line="578" w:lineRule="exact"/>
        <w:ind w:left="0" w:leftChars="0" w:firstLine="643" w:firstLineChars="200"/>
        <w:textAlignment w:val="auto"/>
        <w:rPr>
          <w:rFonts w:hint="eastAsia" w:ascii="仿宋_GB2312" w:hAnsi="ˎ̥" w:eastAsia="仿宋_GB2312"/>
          <w:color w:val="auto"/>
          <w:sz w:val="32"/>
          <w:szCs w:val="32"/>
        </w:rPr>
      </w:pPr>
      <w:r>
        <w:rPr>
          <w:rFonts w:hint="eastAsia" w:ascii="仿宋_GB2312" w:hAnsi="ˎ̥" w:eastAsia="仿宋_GB2312"/>
          <w:b/>
          <w:bCs/>
          <w:color w:val="auto"/>
          <w:sz w:val="32"/>
          <w:szCs w:val="32"/>
        </w:rPr>
        <w:t>住房保障（类）</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320" w:firstLineChars="1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11.15</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11.15</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%。决算数</w:t>
      </w:r>
      <w:r>
        <w:rPr>
          <w:rFonts w:hint="eastAsia" w:ascii="仿宋_GB2312" w:hAnsi="ˎ̥" w:eastAsia="仿宋_GB2312"/>
          <w:color w:val="auto"/>
          <w:sz w:val="32"/>
          <w:szCs w:val="32"/>
          <w:lang w:val="en-US" w:eastAsia="zh-CN"/>
        </w:rPr>
        <w:t>等于</w:t>
      </w:r>
      <w:r>
        <w:rPr>
          <w:rFonts w:hint="eastAsia" w:ascii="仿宋_GB2312" w:hAnsi="ˎ̥" w:eastAsia="仿宋_GB2312"/>
          <w:color w:val="auto"/>
          <w:sz w:val="32"/>
          <w:szCs w:val="32"/>
        </w:rPr>
        <w:t>预算数的主要原因：一是</w:t>
      </w:r>
      <w:r>
        <w:rPr>
          <w:rFonts w:hint="eastAsia" w:ascii="仿宋_GB2312" w:hAnsi="ˎ̥" w:eastAsia="仿宋_GB2312"/>
          <w:color w:val="auto"/>
          <w:sz w:val="32"/>
          <w:szCs w:val="32"/>
          <w:lang w:val="en-US" w:eastAsia="zh-CN"/>
        </w:rPr>
        <w:t>本部门属于新增单位</w:t>
      </w:r>
      <w:r>
        <w:rPr>
          <w:rFonts w:hint="eastAsia" w:ascii="仿宋_GB2312" w:hAnsi="ˎ̥" w:eastAsia="仿宋_GB2312"/>
          <w:color w:val="auto"/>
          <w:sz w:val="32"/>
          <w:szCs w:val="32"/>
        </w:rPr>
        <w:t>；二是</w:t>
      </w:r>
      <w:r>
        <w:rPr>
          <w:rFonts w:hint="eastAsia" w:ascii="仿宋_GB2312" w:hAnsi="ˎ̥" w:eastAsia="仿宋_GB2312"/>
          <w:color w:val="auto"/>
          <w:sz w:val="32"/>
          <w:szCs w:val="32"/>
          <w:lang w:val="en-US" w:eastAsia="zh-CN"/>
        </w:rPr>
        <w:t>无上年数据</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本部分支出决算数可取自财决公开05表，年初预算数可取自各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单位年初预算大本，根据实际支出涉及的支出功能分类项级科目填列</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color w:val="auto"/>
          <w:sz w:val="32"/>
          <w:szCs w:val="32"/>
        </w:rPr>
      </w:pPr>
      <w:r>
        <w:rPr>
          <w:rFonts w:hint="eastAsia" w:ascii="黑体" w:hAnsi="黑体" w:eastAsia="黑体" w:cs="黑体"/>
          <w:bCs/>
          <w:color w:val="auto"/>
          <w:sz w:val="32"/>
          <w:szCs w:val="32"/>
        </w:rPr>
        <w:t>六、一般公共预算财政拨款基本支出决算情况说明</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年度财政拨款基本支出</w:t>
      </w:r>
      <w:r>
        <w:rPr>
          <w:rFonts w:hint="eastAsia" w:ascii="仿宋_GB2312" w:hAnsi="ˎ̥" w:eastAsia="仿宋_GB2312"/>
          <w:color w:val="auto"/>
          <w:sz w:val="32"/>
          <w:szCs w:val="32"/>
          <w:lang w:val="en-US"/>
        </w:rPr>
        <w:t>0.00</w:t>
      </w:r>
      <w:r>
        <w:rPr>
          <w:rFonts w:hint="eastAsia" w:ascii="仿宋_GB2312" w:hAnsi="ˎ̥" w:eastAsia="仿宋_GB2312"/>
          <w:color w:val="auto"/>
          <w:sz w:val="32"/>
          <w:szCs w:val="32"/>
        </w:rPr>
        <w:t>万元，其中：人员经费</w:t>
      </w:r>
      <w:r>
        <w:rPr>
          <w:rFonts w:hint="eastAsia" w:ascii="仿宋_GB2312" w:hAnsi="ˎ̥" w:eastAsia="仿宋_GB2312"/>
          <w:color w:val="auto"/>
          <w:sz w:val="32"/>
          <w:szCs w:val="32"/>
          <w:lang w:val="en-US" w:eastAsia="zh-CN"/>
        </w:rPr>
        <w:t>588.11</w:t>
      </w:r>
      <w:r>
        <w:rPr>
          <w:rFonts w:hint="eastAsia" w:ascii="仿宋_GB2312" w:hAnsi="ˎ̥" w:eastAsia="仿宋_GB2312"/>
          <w:color w:val="auto"/>
          <w:sz w:val="32"/>
          <w:szCs w:val="32"/>
        </w:rPr>
        <w:t>万元，主要包括：工资福利支出中的基本工资、津贴补贴、奖金、伙食补助费、绩效工资、机关事业单位基本养老保险缴费、职业年金缴费、职工基本医疗保险缴费、公务员医疗补助缴费、其他社会保障缴费、住房公积金、医疗费、其他工资福利支出；对个人和家庭的补助中的离休费、退休费、退职（役）费、抚恤金、生活补助、救济费、医疗费补助、助学金、奖励金、个人农业生产补贴、代缴社会保险费、其他对个人和家庭的补助。公用经费</w:t>
      </w:r>
      <w:r>
        <w:rPr>
          <w:rFonts w:hint="eastAsia" w:ascii="仿宋_GB2312" w:hAnsi="ˎ̥" w:eastAsia="仿宋_GB2312"/>
          <w:color w:val="auto"/>
          <w:sz w:val="32"/>
          <w:szCs w:val="32"/>
          <w:lang w:val="en-US" w:eastAsia="zh-CN"/>
        </w:rPr>
        <w:t>9.20</w:t>
      </w:r>
      <w:r>
        <w:rPr>
          <w:rFonts w:hint="eastAsia" w:ascii="仿宋_GB2312" w:hAnsi="ˎ̥" w:eastAsia="仿宋_GB2312"/>
          <w:color w:val="auto"/>
          <w:sz w:val="32"/>
          <w:szCs w:val="32"/>
        </w:rPr>
        <w:t>万元，主要包括：商品和服务支出中的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债务利息及费用支出中的国内债务付息及国外债务付息；资本性支出中的房屋建筑物</w:t>
      </w:r>
      <w:r>
        <w:rPr>
          <w:rFonts w:hint="eastAsia" w:ascii="仿宋_GB2312" w:hAnsi="ˎ̥" w:eastAsia="仿宋_GB2312"/>
          <w:color w:val="auto"/>
          <w:sz w:val="32"/>
          <w:szCs w:val="32"/>
          <w:lang w:val="en-US" w:eastAsia="zh-CN"/>
        </w:rPr>
        <w:t>购</w:t>
      </w:r>
      <w:r>
        <w:rPr>
          <w:rFonts w:hint="eastAsia" w:ascii="仿宋_GB2312" w:hAnsi="ˎ̥" w:eastAsia="仿宋_GB2312"/>
          <w:color w:val="auto"/>
          <w:sz w:val="32"/>
          <w:szCs w:val="32"/>
        </w:rPr>
        <w:t>建、办公设备购置、专用设备购置、基础设施建设、大型修缮、信息网络及软件购置更新、物资储备、土地补偿、安置补助、地上附着物和青苗补偿、拆迁补偿、公务用车购置、其他交通工具购置、文物和陈列品购置、无形资产购置、其他资本性支出等；其他支出中的赠予、国家赔偿费用支出、对民间非营利组织和群众性自治组织补贴和其他支出。</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上述</w:t>
      </w:r>
      <w:r>
        <w:rPr>
          <w:rFonts w:hint="eastAsia" w:ascii="仿宋_GB2312" w:hAnsi="ˎ̥" w:eastAsia="仿宋_GB2312"/>
          <w:color w:val="auto"/>
          <w:sz w:val="32"/>
          <w:szCs w:val="32"/>
          <w:lang w:val="en-US" w:eastAsia="zh-CN"/>
        </w:rPr>
        <w:t>数据</w:t>
      </w:r>
      <w:r>
        <w:rPr>
          <w:rFonts w:hint="eastAsia" w:ascii="仿宋_GB2312" w:hAnsi="ˎ̥" w:eastAsia="仿宋_GB2312"/>
          <w:color w:val="auto"/>
          <w:sz w:val="32"/>
          <w:szCs w:val="32"/>
        </w:rPr>
        <w:t>可取自财决公开06表，各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单位根据实际支出情况，选列相应支出经济分类。）</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七、政府性基金预算财政拨款支出决算情况说明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（一）政府性基金预算财政拨款支出决算总体情况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年度政府性基金预算财政拨款支出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万元，占本年支出合计的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年度相比，政府性基金预算财政拨款支出增加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本部门属于新增单位，无此相关资金</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（二）政府性基金预算财政拨款支出决算结构情况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年度政府性基金预算财政拨款支出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万元，主要用于以下方面：（类）支出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%；（类）支出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%；（类）支出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本部门属于新增单位，无此相关资金</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根据各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单位实际支出涉及的支出功能分类类级科目填列</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（三）政府性基金预算财政拨款支出决算具体情况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年度政府性基金预算财政拨款支出年初预算为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%。其中：</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1.（类）（款）（项）。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%。决算数大于（小于）预算数的主要原因：一是</w:t>
      </w:r>
      <w:r>
        <w:rPr>
          <w:rFonts w:hint="eastAsia" w:ascii="仿宋_GB2312" w:hAnsi="ˎ̥" w:eastAsia="仿宋_GB2312"/>
          <w:color w:val="auto"/>
          <w:sz w:val="32"/>
          <w:szCs w:val="32"/>
          <w:lang w:val="en-US" w:eastAsia="zh-CN"/>
        </w:rPr>
        <w:t>本部门属于新增单位</w:t>
      </w:r>
      <w:r>
        <w:rPr>
          <w:rFonts w:hint="eastAsia" w:ascii="仿宋_GB2312" w:hAnsi="ˎ̥" w:eastAsia="仿宋_GB2312"/>
          <w:color w:val="auto"/>
          <w:sz w:val="32"/>
          <w:szCs w:val="32"/>
        </w:rPr>
        <w:t>；二是</w:t>
      </w:r>
      <w:r>
        <w:rPr>
          <w:rFonts w:hint="eastAsia" w:ascii="仿宋_GB2312" w:hAnsi="ˎ̥" w:eastAsia="仿宋_GB2312"/>
          <w:color w:val="auto"/>
          <w:sz w:val="32"/>
          <w:szCs w:val="32"/>
          <w:lang w:val="en-US" w:eastAsia="zh-CN"/>
        </w:rPr>
        <w:t>无此相关资金</w:t>
      </w:r>
      <w:r>
        <w:rPr>
          <w:rFonts w:hint="eastAsia" w:ascii="仿宋_GB2312" w:hAnsi="ˎ̥" w:eastAsia="仿宋_GB2312"/>
          <w:color w:val="auto"/>
          <w:sz w:val="32"/>
          <w:szCs w:val="32"/>
        </w:rPr>
        <w:t>。</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根据各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单位实际支出涉及的支出功能分类项级科目填列，本部分</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w:t>
      </w:r>
      <w:r>
        <w:rPr>
          <w:rFonts w:hint="eastAsia" w:ascii="仿宋_GB2312" w:hAnsi="ˎ̥" w:eastAsia="仿宋_GB2312"/>
          <w:color w:val="auto"/>
          <w:sz w:val="32"/>
          <w:szCs w:val="32"/>
          <w:lang w:val="en-US" w:eastAsia="zh-CN"/>
        </w:rPr>
        <w:t>度</w:t>
      </w:r>
      <w:r>
        <w:rPr>
          <w:rFonts w:hint="eastAsia" w:ascii="仿宋_GB2312" w:hAnsi="ˎ̥" w:eastAsia="仿宋_GB2312"/>
          <w:color w:val="auto"/>
          <w:sz w:val="32"/>
          <w:szCs w:val="32"/>
        </w:rPr>
        <w:t>决算相关数据取自财决公开07表；</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w:t>
      </w:r>
      <w:r>
        <w:rPr>
          <w:rFonts w:hint="eastAsia" w:ascii="仿宋_GB2312" w:hAnsi="ˎ̥" w:eastAsia="仿宋_GB2312"/>
          <w:color w:val="auto"/>
          <w:sz w:val="32"/>
          <w:szCs w:val="32"/>
          <w:lang w:val="en-US" w:eastAsia="zh-CN"/>
        </w:rPr>
        <w:t>度</w:t>
      </w:r>
      <w:r>
        <w:rPr>
          <w:rFonts w:hint="eastAsia" w:ascii="仿宋_GB2312" w:hAnsi="ˎ̥" w:eastAsia="仿宋_GB2312"/>
          <w:color w:val="auto"/>
          <w:sz w:val="32"/>
          <w:szCs w:val="32"/>
        </w:rPr>
        <w:t>决算相关数据取自</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lang w:val="en-US" w:eastAsia="zh-CN"/>
        </w:rPr>
        <w:t>年度部门决算报表</w:t>
      </w:r>
      <w:r>
        <w:rPr>
          <w:rFonts w:hint="eastAsia" w:ascii="仿宋_GB2312" w:hAnsi="ˎ̥" w:eastAsia="仿宋_GB2312"/>
          <w:color w:val="auto"/>
          <w:sz w:val="32"/>
          <w:szCs w:val="32"/>
        </w:rPr>
        <w:t>财决09表《政府性基金预算财政拨款收入支出决算表》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八、国有资本经营预算财政拨款支出决算情况说明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（一）国有资本经营预算财政拨款支出决算总体情况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年度国有资本经营预算财政拨款支出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万元，占本年支出合计的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年度相比，国有资本经营预算财政拨款支出增加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本部门属于新增单位，无此相关资金</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（二）国有资本经营预算财政拨款支出决算结构情况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年度国有资本经营预算财政拨款支出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万元，主要用于以下方面：（类）支出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%；（类）支出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%；（类）支出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根据各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单位实际支出涉及的支出功能分类类级科目填列</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（三）国有资本经营预算财政拨款支出决算具体情况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年度国有资本经营预算财政拨款支出年初预算为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%。其中：</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color w:val="auto"/>
          <w:sz w:val="32"/>
          <w:szCs w:val="32"/>
        </w:rPr>
      </w:pPr>
      <w:r>
        <w:rPr>
          <w:rFonts w:hint="eastAsia" w:ascii="仿宋_GB2312" w:hAnsi="ˎ̥" w:eastAsia="仿宋_GB2312"/>
          <w:color w:val="auto"/>
          <w:sz w:val="32"/>
          <w:szCs w:val="32"/>
        </w:rPr>
        <w:t>1.（类）（款）（项）。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color w:val="auto"/>
          <w:sz w:val="32"/>
          <w:szCs w:val="32"/>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%。决算数大于（小于）预算数的主要原因：一是</w:t>
      </w:r>
      <w:r>
        <w:rPr>
          <w:rFonts w:hint="eastAsia" w:ascii="仿宋_GB2312" w:hAnsi="ˎ̥" w:eastAsia="仿宋_GB2312"/>
          <w:color w:val="auto"/>
          <w:sz w:val="32"/>
          <w:szCs w:val="32"/>
          <w:lang w:val="en-US" w:eastAsia="zh-CN"/>
        </w:rPr>
        <w:t>本部门属于新增单位</w:t>
      </w:r>
      <w:r>
        <w:rPr>
          <w:rFonts w:hint="eastAsia" w:ascii="仿宋_GB2312" w:hAnsi="ˎ̥" w:eastAsia="仿宋_GB2312"/>
          <w:color w:val="auto"/>
          <w:sz w:val="32"/>
          <w:szCs w:val="32"/>
        </w:rPr>
        <w:t>；二是</w:t>
      </w:r>
      <w:r>
        <w:rPr>
          <w:rFonts w:hint="eastAsia" w:ascii="仿宋_GB2312" w:hAnsi="ˎ̥" w:eastAsia="仿宋_GB2312"/>
          <w:color w:val="auto"/>
          <w:sz w:val="32"/>
          <w:szCs w:val="32"/>
          <w:lang w:val="en-US" w:eastAsia="zh-CN"/>
        </w:rPr>
        <w:t>无此相关资金</w:t>
      </w:r>
      <w:r>
        <w:rPr>
          <w:rFonts w:hint="eastAsia" w:ascii="仿宋_GB2312" w:hAnsi="ˎ̥" w:eastAsia="仿宋_GB2312"/>
          <w:color w:val="auto"/>
          <w:sz w:val="32"/>
          <w:szCs w:val="32"/>
        </w:rPr>
        <w:t>。</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320" w:firstLineChars="1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根据各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单位实际支出涉及的支出功能分类项级科目填列，本部分</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w:t>
      </w:r>
      <w:r>
        <w:rPr>
          <w:rFonts w:hint="eastAsia" w:ascii="仿宋_GB2312" w:hAnsi="ˎ̥" w:eastAsia="仿宋_GB2312"/>
          <w:color w:val="auto"/>
          <w:sz w:val="32"/>
          <w:szCs w:val="32"/>
          <w:lang w:val="en-US" w:eastAsia="zh-CN"/>
        </w:rPr>
        <w:t>度</w:t>
      </w:r>
      <w:r>
        <w:rPr>
          <w:rFonts w:hint="eastAsia" w:ascii="仿宋_GB2312" w:hAnsi="ˎ̥" w:eastAsia="仿宋_GB2312"/>
          <w:color w:val="auto"/>
          <w:sz w:val="32"/>
          <w:szCs w:val="32"/>
        </w:rPr>
        <w:t>决算相关数据取自财决公开08表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仿宋_GB2312" w:hAnsi="ˎ̥" w:eastAsia="楷体_GB2312"/>
          <w:color w:val="auto"/>
          <w:sz w:val="32"/>
          <w:szCs w:val="32"/>
        </w:rPr>
      </w:pPr>
      <w:r>
        <w:rPr>
          <w:rFonts w:hint="eastAsia" w:ascii="黑体" w:hAnsi="黑体" w:eastAsia="黑体" w:cs="黑体"/>
          <w:bCs/>
          <w:color w:val="auto"/>
          <w:sz w:val="32"/>
          <w:szCs w:val="32"/>
        </w:rPr>
        <w:t>九、财政拨款“三公”经费支出决算情况说明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r>
        <w:rPr>
          <w:rFonts w:hint="eastAsia" w:ascii="楷体" w:hAnsi="楷体" w:eastAsia="楷体" w:cs="楷体"/>
          <w:bCs/>
          <w:color w:val="auto"/>
          <w:sz w:val="32"/>
          <w:szCs w:val="32"/>
        </w:rPr>
        <w:t>（一）财政拨款“三公”经费支出决算总体情况说明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 xml:space="preserve">    </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年度财政拨款“三公”经费支出预算为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万元，完成预算的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r>
        <w:rPr>
          <w:rFonts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相比，</w:t>
      </w:r>
      <w:r>
        <w:rPr>
          <w:rFonts w:hint="eastAsia" w:ascii="仿宋_GB2312" w:hAnsi="ˎ̥" w:eastAsia="仿宋_GB2312"/>
          <w:color w:val="auto"/>
          <w:sz w:val="32"/>
          <w:szCs w:val="32"/>
        </w:rPr>
        <w:t>“三公”经费支出增加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ascii="仿宋_GB2312" w:hAnsi="ˎ̥" w:eastAsia="仿宋_GB2312"/>
          <w:color w:val="auto"/>
          <w:sz w:val="32"/>
          <w:szCs w:val="32"/>
        </w:rPr>
        <w:t>，增长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r>
        <w:rPr>
          <w:rFonts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本部门属于新增单位，无此相关资金</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楷体" w:hAnsi="楷体" w:eastAsia="楷体" w:cs="楷体"/>
          <w:color w:val="auto"/>
          <w:sz w:val="32"/>
          <w:szCs w:val="32"/>
        </w:rPr>
      </w:pPr>
      <w:r>
        <w:rPr>
          <w:rFonts w:hint="eastAsia" w:ascii="楷体" w:hAnsi="楷体" w:eastAsia="楷体" w:cs="楷体"/>
          <w:b/>
          <w:bCs/>
          <w:color w:val="auto"/>
          <w:sz w:val="32"/>
          <w:szCs w:val="32"/>
        </w:rPr>
        <w:t xml:space="preserve">   </w:t>
      </w:r>
      <w:r>
        <w:rPr>
          <w:rFonts w:hint="eastAsia" w:ascii="楷体" w:hAnsi="楷体" w:eastAsia="楷体" w:cs="楷体"/>
          <w:color w:val="auto"/>
          <w:sz w:val="32"/>
          <w:szCs w:val="32"/>
        </w:rPr>
        <w:t xml:space="preserve"> （二）财政拨款“三公”经费支出决算具体情况说明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年度财政拨款“三公”经费支出决算中，因公出国（境）费支出决算</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%；公务用车购置及运行维护费支出决算</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%；公务接待费支出决算</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%。具体情况如下：</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1.因公出国（境）费</w:t>
      </w:r>
      <w:r>
        <w:rPr>
          <w:rFonts w:hint="eastAsia" w:ascii="仿宋_GB2312" w:hAnsi="ˎ̥" w:eastAsia="仿宋_GB2312"/>
          <w:color w:val="auto"/>
          <w:sz w:val="32"/>
          <w:szCs w:val="32"/>
        </w:rPr>
        <w:t>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万元。全年安排因公出国（境）团组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个，因公出国（境）</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人次。开支内容包括：</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lang w:eastAsia="zh-CN"/>
        </w:rPr>
      </w:pP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因公出国（境）费支出决算</w:t>
      </w:r>
      <w:r>
        <w:rPr>
          <w:rFonts w:hint="eastAsia" w:ascii="仿宋_GB2312" w:hAnsi="ˎ̥" w:eastAsia="仿宋_GB2312"/>
          <w:color w:val="auto"/>
          <w:sz w:val="32"/>
          <w:szCs w:val="32"/>
          <w:lang w:val="en-US" w:eastAsia="zh-CN"/>
        </w:rPr>
        <w:t>数</w:t>
      </w:r>
      <w:r>
        <w:rPr>
          <w:rFonts w:hint="eastAsia" w:ascii="仿宋_GB2312" w:hAnsi="ˎ̥" w:eastAsia="仿宋_GB2312"/>
          <w:color w:val="auto"/>
          <w:sz w:val="32"/>
          <w:szCs w:val="32"/>
        </w:rPr>
        <w:t>比预算数增加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完成预算的0</w:t>
      </w:r>
      <w:r>
        <w:rPr>
          <w:rFonts w:hint="default" w:ascii="仿宋_GB2312" w:hAnsi="ˎ̥" w:eastAsia="仿宋_GB2312"/>
          <w:color w:val="auto"/>
          <w:sz w:val="32"/>
          <w:szCs w:val="32"/>
          <w:lang w:val="en-US" w:eastAsia="zh-CN"/>
        </w:rPr>
        <w:t>%</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相比，</w:t>
      </w:r>
      <w:r>
        <w:rPr>
          <w:rFonts w:hint="eastAsia" w:ascii="仿宋_GB2312" w:hAnsi="ˎ̥" w:eastAsia="仿宋_GB2312"/>
          <w:color w:val="auto"/>
          <w:sz w:val="32"/>
          <w:szCs w:val="32"/>
        </w:rPr>
        <w:t>因公出国（境）费支出增加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ascii="仿宋_GB2312" w:hAnsi="ˎ̥" w:eastAsia="仿宋_GB2312"/>
          <w:color w:val="auto"/>
          <w:sz w:val="32"/>
          <w:szCs w:val="32"/>
        </w:rPr>
        <w:t>，增长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本部门属于新增单位，无此相关资金</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 xml:space="preserve">    2.公务用车购置及运行维护费</w:t>
      </w:r>
      <w:r>
        <w:rPr>
          <w:rFonts w:hint="eastAsia" w:ascii="仿宋_GB2312" w:hAnsi="ˎ̥" w:eastAsia="仿宋_GB2312"/>
          <w:b w:val="0"/>
          <w:bCs/>
          <w:color w:val="auto"/>
          <w:sz w:val="32"/>
          <w:szCs w:val="32"/>
        </w:rPr>
        <w:t>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万元。其中：</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公务用车购置</w:t>
      </w:r>
      <w:r>
        <w:rPr>
          <w:rFonts w:hint="eastAsia" w:ascii="仿宋_GB2312" w:hAnsi="ˎ̥" w:eastAsia="仿宋_GB2312"/>
          <w:b w:val="0"/>
          <w:bCs/>
          <w:color w:val="auto"/>
          <w:sz w:val="32"/>
          <w:szCs w:val="32"/>
        </w:rPr>
        <w:t>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万元，全年购置公务用车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辆，主要用于，年末公务用车保有量</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公务用车运行维护费</w:t>
      </w:r>
      <w:r>
        <w:rPr>
          <w:rFonts w:hint="eastAsia" w:ascii="仿宋_GB2312" w:hAnsi="ˎ̥" w:eastAsia="仿宋_GB2312"/>
          <w:color w:val="auto"/>
          <w:sz w:val="32"/>
          <w:szCs w:val="32"/>
        </w:rPr>
        <w:t>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bCs/>
          <w:color w:val="auto"/>
          <w:sz w:val="32"/>
          <w:szCs w:val="32"/>
        </w:rPr>
        <w:t>公务用车购置及运行维护费支出决算数</w:t>
      </w:r>
      <w:r>
        <w:rPr>
          <w:rFonts w:hint="eastAsia" w:ascii="仿宋_GB2312" w:hAnsi="ˎ̥" w:eastAsia="仿宋_GB2312"/>
          <w:color w:val="auto"/>
          <w:sz w:val="32"/>
          <w:szCs w:val="32"/>
        </w:rPr>
        <w:t>比预算数增加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完成预算的0</w:t>
      </w:r>
      <w:r>
        <w:rPr>
          <w:rFonts w:hint="eastAsia" w:ascii="仿宋_GB2312" w:hAnsi="ˎ̥" w:eastAsia="仿宋_GB2312"/>
          <w:color w:val="auto"/>
          <w:sz w:val="32"/>
          <w:szCs w:val="32"/>
        </w:rPr>
        <w:t>%</w:t>
      </w:r>
      <w:r>
        <w:rPr>
          <w:rFonts w:hint="eastAsia" w:ascii="仿宋_GB2312" w:hAnsi="ˎ̥" w:eastAsia="仿宋_GB2312"/>
          <w:color w:val="auto"/>
          <w:sz w:val="32"/>
          <w:szCs w:val="32"/>
          <w:lang w:val="en-US" w:eastAsia="zh-CN"/>
        </w:rPr>
        <w:t>。</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相比，</w:t>
      </w:r>
      <w:r>
        <w:rPr>
          <w:rFonts w:hint="eastAsia" w:ascii="仿宋_GB2312" w:hAnsi="ˎ̥" w:eastAsia="仿宋_GB2312"/>
          <w:bCs/>
          <w:color w:val="auto"/>
          <w:sz w:val="32"/>
          <w:szCs w:val="32"/>
        </w:rPr>
        <w:t>公务用车购置及运行维护费</w:t>
      </w:r>
      <w:r>
        <w:rPr>
          <w:rFonts w:hint="eastAsia" w:ascii="仿宋_GB2312" w:hAnsi="ˎ̥" w:eastAsia="仿宋_GB2312"/>
          <w:color w:val="auto"/>
          <w:sz w:val="32"/>
          <w:szCs w:val="32"/>
        </w:rPr>
        <w:t>支出增加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ascii="仿宋_GB2312" w:hAnsi="ˎ̥" w:eastAsia="仿宋_GB2312"/>
          <w:color w:val="auto"/>
          <w:sz w:val="32"/>
          <w:szCs w:val="32"/>
        </w:rPr>
        <w:t>，增长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本部门属于新增单位，无此相关资金</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 xml:space="preserve">    3.公务接待费</w:t>
      </w:r>
      <w:r>
        <w:rPr>
          <w:rFonts w:hint="eastAsia" w:ascii="仿宋_GB2312" w:hAnsi="ˎ̥" w:eastAsia="仿宋_GB2312"/>
          <w:b w:val="0"/>
          <w:bCs/>
          <w:color w:val="auto"/>
          <w:sz w:val="32"/>
          <w:szCs w:val="32"/>
        </w:rPr>
        <w:t>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万元，其中：</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国内接待费</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万元，国内公务接待</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批次，接待</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人次；主要用于。</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bCs/>
          <w:color w:val="auto"/>
          <w:sz w:val="32"/>
          <w:szCs w:val="32"/>
        </w:rPr>
        <w:t>国（境）外接待费</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万元，国（境）外公务接待</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批次，接待</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人次。</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公务接待费支出决算数比预算数增加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完成预算的0</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相比，</w:t>
      </w:r>
      <w:r>
        <w:rPr>
          <w:rFonts w:hint="eastAsia" w:ascii="仿宋_GB2312" w:hAnsi="ˎ̥" w:eastAsia="仿宋_GB2312"/>
          <w:bCs/>
          <w:color w:val="auto"/>
          <w:sz w:val="32"/>
          <w:szCs w:val="32"/>
        </w:rPr>
        <w:t>公务接待费</w:t>
      </w:r>
      <w:r>
        <w:rPr>
          <w:rFonts w:hint="eastAsia" w:ascii="仿宋_GB2312" w:hAnsi="ˎ̥" w:eastAsia="仿宋_GB2312"/>
          <w:color w:val="auto"/>
          <w:sz w:val="32"/>
          <w:szCs w:val="32"/>
        </w:rPr>
        <w:t>支出增加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ascii="仿宋_GB2312" w:hAnsi="ˎ̥" w:eastAsia="仿宋_GB2312"/>
          <w:color w:val="auto"/>
          <w:sz w:val="32"/>
          <w:szCs w:val="32"/>
        </w:rPr>
        <w:t>，增长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本部门属于新增单位，无此相关资金</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年度“三公”经费预算数、决算数可取自财决公开09表，出国团组数、出国人次，公务用车购置数、公务用车保有量，接待团组数、接待人次可取自部门决算报表F03表《机构运行信息表》，</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年度相关</w:t>
      </w:r>
      <w:r>
        <w:rPr>
          <w:rFonts w:ascii="仿宋_GB2312" w:hAnsi="ˎ̥" w:eastAsia="仿宋_GB2312"/>
          <w:color w:val="auto"/>
          <w:sz w:val="32"/>
          <w:szCs w:val="32"/>
        </w:rPr>
        <w:t>数据</w:t>
      </w:r>
      <w:r>
        <w:rPr>
          <w:rFonts w:hint="eastAsia" w:ascii="仿宋_GB2312" w:hAnsi="ˎ̥" w:eastAsia="仿宋_GB2312"/>
          <w:color w:val="auto"/>
          <w:sz w:val="32"/>
          <w:szCs w:val="32"/>
        </w:rPr>
        <w:t>可取自</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部门决算报表</w:t>
      </w:r>
      <w:r>
        <w:rPr>
          <w:rFonts w:hint="eastAsia" w:ascii="仿宋_GB2312" w:hAnsi="ˎ̥" w:eastAsia="仿宋_GB2312"/>
          <w:color w:val="auto"/>
          <w:sz w:val="32"/>
          <w:szCs w:val="32"/>
        </w:rPr>
        <w:t>F03表《机构</w:t>
      </w:r>
      <w:r>
        <w:rPr>
          <w:rFonts w:ascii="仿宋_GB2312" w:hAnsi="ˎ̥" w:eastAsia="仿宋_GB2312"/>
          <w:color w:val="auto"/>
          <w:sz w:val="32"/>
          <w:szCs w:val="32"/>
        </w:rPr>
        <w:t>运行信息表》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十、预算绩效情况说明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r>
        <w:rPr>
          <w:rFonts w:hint="eastAsia" w:ascii="楷体" w:hAnsi="楷体" w:eastAsia="楷体" w:cs="楷体"/>
          <w:bCs/>
          <w:color w:val="auto"/>
          <w:sz w:val="32"/>
          <w:szCs w:val="32"/>
        </w:rPr>
        <w:t>（一）绩效管理工作开展情况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根据财政预算绩效管理要求，可按照如下格式说明：根据预算管理要求，我部门（单位）组织</w:t>
      </w:r>
      <w:r>
        <w:rPr>
          <w:rFonts w:hint="eastAsia" w:ascii="仿宋_GB2312" w:eastAsia="仿宋_GB2312"/>
          <w:color w:val="auto"/>
          <w:sz w:val="32"/>
          <w:szCs w:val="32"/>
          <w:lang w:val="en-US" w:eastAsia="zh-CN"/>
        </w:rPr>
        <w:t>未</w:t>
      </w:r>
      <w:r>
        <w:rPr>
          <w:rFonts w:hint="eastAsia" w:ascii="仿宋_GB2312" w:eastAsia="仿宋_GB2312"/>
          <w:color w:val="auto"/>
          <w:sz w:val="32"/>
          <w:szCs w:val="32"/>
        </w:rPr>
        <w:t>对</w:t>
      </w:r>
      <w:r>
        <w:rPr>
          <w:rFonts w:hint="default" w:ascii="仿宋_GB2312" w:eastAsia="仿宋_GB2312"/>
          <w:color w:val="auto"/>
          <w:sz w:val="32"/>
          <w:szCs w:val="32"/>
          <w:lang w:val="en-US"/>
        </w:rPr>
        <w:t>2024</w:t>
      </w:r>
      <w:r>
        <w:rPr>
          <w:rFonts w:hint="eastAsia" w:ascii="仿宋_GB2312" w:eastAsia="仿宋_GB2312"/>
          <w:color w:val="auto"/>
          <w:sz w:val="32"/>
          <w:szCs w:val="32"/>
        </w:rPr>
        <w:t>年度一般公共预算项目支出全面开展绩效自评</w:t>
      </w:r>
      <w:r>
        <w:rPr>
          <w:rFonts w:hint="default" w:ascii="仿宋_GB2312" w:eastAsia="仿宋_GB2312"/>
          <w:color w:val="auto"/>
          <w:sz w:val="32"/>
          <w:szCs w:val="32"/>
          <w:lang w:val="en-US"/>
        </w:rPr>
        <w:t>,</w:t>
      </w:r>
      <w:r>
        <w:rPr>
          <w:rFonts w:hint="eastAsia" w:ascii="仿宋_GB2312" w:eastAsia="仿宋_GB2312"/>
          <w:color w:val="auto"/>
          <w:sz w:val="32"/>
          <w:szCs w:val="32"/>
          <w:lang w:val="en-US" w:eastAsia="zh-CN"/>
        </w:rPr>
        <w:t>共涉及资金0万元，占一般公共预算项目支出总额的0%</w:t>
      </w:r>
      <w:r>
        <w:rPr>
          <w:rFonts w:hint="eastAsia" w:ascii="仿宋_GB2312" w:eastAsia="仿宋_GB2312"/>
          <w:color w:val="auto"/>
          <w:sz w:val="32"/>
          <w:szCs w:val="32"/>
        </w:rPr>
        <w:t>。</w:t>
      </w:r>
      <w:r>
        <w:rPr>
          <w:rFonts w:hint="eastAsia" w:ascii="仿宋_GB2312" w:eastAsia="仿宋_GB2312"/>
          <w:color w:val="auto"/>
          <w:sz w:val="32"/>
          <w:szCs w:val="32"/>
          <w:lang w:bidi="ar"/>
        </w:rPr>
        <w:t>组织对</w:t>
      </w:r>
      <w:r>
        <w:rPr>
          <w:rFonts w:hint="default" w:ascii="仿宋_GB2312" w:eastAsia="仿宋_GB2312"/>
          <w:color w:val="auto"/>
          <w:sz w:val="32"/>
          <w:szCs w:val="32"/>
          <w:lang w:val="en-US" w:bidi="ar"/>
        </w:rPr>
        <w:t>2024</w:t>
      </w:r>
      <w:r>
        <w:rPr>
          <w:rFonts w:hint="eastAsia" w:ascii="仿宋_GB2312" w:eastAsia="仿宋_GB2312"/>
          <w:color w:val="auto"/>
          <w:sz w:val="32"/>
          <w:szCs w:val="32"/>
          <w:lang w:bidi="ar"/>
        </w:rPr>
        <w:t>年度</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个政府性基金预算项目开展绩效自评，共涉及资金</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万元，占政府性基金预算项目支出总额的</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%。组织对</w:t>
      </w:r>
      <w:r>
        <w:rPr>
          <w:rFonts w:hint="default" w:ascii="仿宋_GB2312" w:eastAsia="仿宋_GB2312"/>
          <w:color w:val="auto"/>
          <w:sz w:val="32"/>
          <w:szCs w:val="32"/>
          <w:lang w:val="en-US" w:bidi="ar"/>
        </w:rPr>
        <w:t>2024</w:t>
      </w:r>
      <w:r>
        <w:rPr>
          <w:rFonts w:hint="eastAsia" w:ascii="仿宋_GB2312" w:eastAsia="仿宋_GB2312"/>
          <w:color w:val="auto"/>
          <w:sz w:val="32"/>
          <w:szCs w:val="32"/>
          <w:lang w:bidi="ar"/>
        </w:rPr>
        <w:t>年度</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个国有资本经营预算项目开展绩效自评，共涉及资金</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万元，占国有资本经营预算项目支出总额的</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lang w:val="en-US" w:eastAsia="zh-CN"/>
        </w:rPr>
      </w:pPr>
      <w:r>
        <w:rPr>
          <w:rFonts w:hint="eastAsia" w:ascii="仿宋_GB2312" w:eastAsia="仿宋_GB2312"/>
          <w:color w:val="auto"/>
          <w:sz w:val="32"/>
          <w:szCs w:val="32"/>
        </w:rPr>
        <w:t>共组织对“</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个项目开展了部门评价，</w:t>
      </w:r>
      <w:r>
        <w:rPr>
          <w:rFonts w:hint="eastAsia" w:ascii="仿宋_GB2312" w:eastAsia="仿宋_GB2312"/>
          <w:color w:val="auto"/>
          <w:sz w:val="32"/>
          <w:szCs w:val="32"/>
          <w:lang w:bidi="ar"/>
        </w:rPr>
        <w:t>涉及一般公共预算支出</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万元，政府性基金预算支出</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万元，国有资本经营预算支出</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万元。</w:t>
      </w:r>
      <w:r>
        <w:rPr>
          <w:rFonts w:hint="eastAsia" w:ascii="仿宋_GB2312" w:eastAsia="仿宋_GB2312"/>
          <w:color w:val="auto"/>
          <w:sz w:val="32"/>
          <w:szCs w:val="32"/>
        </w:rPr>
        <w:t>从评价情况来看，</w:t>
      </w:r>
      <w:r>
        <w:rPr>
          <w:rFonts w:hint="eastAsia" w:ascii="仿宋_GB2312" w:eastAsia="仿宋_GB2312"/>
          <w:color w:val="auto"/>
          <w:sz w:val="32"/>
          <w:szCs w:val="32"/>
          <w:lang w:val="en-US" w:eastAsia="zh-CN"/>
        </w:rPr>
        <w:t>未开展此项工作，</w:t>
      </w:r>
      <w:bookmarkStart w:id="119" w:name="_GoBack"/>
      <w:r>
        <w:rPr>
          <w:rFonts w:hint="eastAsia" w:ascii="仿宋_GB2312" w:eastAsia="仿宋_GB2312"/>
          <w:color w:val="auto"/>
          <w:sz w:val="32"/>
          <w:szCs w:val="32"/>
          <w:lang w:val="en-US" w:eastAsia="zh-CN"/>
        </w:rPr>
        <w:t>具体原因：一是</w:t>
      </w:r>
      <w:r>
        <w:rPr>
          <w:rFonts w:hint="eastAsia" w:ascii="仿宋_GB2312" w:hAnsi="ˎ̥" w:eastAsia="仿宋_GB2312"/>
          <w:color w:val="auto"/>
          <w:sz w:val="32"/>
          <w:szCs w:val="32"/>
          <w:lang w:val="en-US" w:eastAsia="zh-CN"/>
        </w:rPr>
        <w:t xml:space="preserve">本部门属于新增单位,未开展此项工作。       </w:t>
      </w:r>
    </w:p>
    <w:bookmarkEnd w:id="119"/>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bCs/>
          <w:color w:val="auto"/>
          <w:sz w:val="32"/>
          <w:szCs w:val="32"/>
        </w:rPr>
      </w:pPr>
      <w:r>
        <w:rPr>
          <w:rFonts w:hint="eastAsia" w:ascii="楷体" w:hAnsi="楷体" w:eastAsia="楷体" w:cs="楷体"/>
          <w:bCs/>
          <w:color w:val="auto"/>
          <w:sz w:val="32"/>
          <w:szCs w:val="32"/>
        </w:rPr>
        <w:t>（二）部门决算中项目绩效自评结果（预算部门、单位可根据实际情况反映重点项目绩效自评结果）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参照如下格式说明（表述应与决算内容保持一致）：我部门（单位）在部门决算中反映</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个项目绩效自评结果（包括项目绩效自评表和项目绩效自评报告）。</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项目绩效自评表：</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可作为附件附后</w:t>
      </w:r>
      <w:r>
        <w:rPr>
          <w:rFonts w:hint="eastAsia" w:ascii="仿宋_GB2312"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lang w:val="en-US" w:eastAsia="zh-CN"/>
        </w:rPr>
      </w:pPr>
      <w:r>
        <w:rPr>
          <w:rFonts w:hint="eastAsia" w:ascii="仿宋_GB2312" w:eastAsia="仿宋_GB2312"/>
          <w:color w:val="auto"/>
          <w:sz w:val="32"/>
          <w:szCs w:val="32"/>
        </w:rPr>
        <w:t>项目绩效自评报告：根据年初设定的绩效目标，项目绩效自评得分为</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分。全年预算数为</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万元，执行数为</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万元，完成预算的</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%。项目绩效目标完成情况：</w:t>
      </w:r>
      <w:r>
        <w:rPr>
          <w:rFonts w:hint="eastAsia" w:ascii="仿宋_GB2312" w:eastAsia="仿宋_GB2312"/>
          <w:color w:val="auto"/>
          <w:sz w:val="32"/>
          <w:szCs w:val="32"/>
          <w:lang w:val="en-US" w:eastAsia="zh-CN"/>
        </w:rPr>
        <w:t>未开展此项工作，具体原因：一是</w:t>
      </w:r>
      <w:r>
        <w:rPr>
          <w:rFonts w:hint="eastAsia" w:ascii="仿宋_GB2312" w:hAnsi="ˎ̥" w:eastAsia="仿宋_GB2312"/>
          <w:color w:val="auto"/>
          <w:sz w:val="32"/>
          <w:szCs w:val="32"/>
          <w:lang w:val="en-US" w:eastAsia="zh-CN"/>
        </w:rPr>
        <w:t>本部门属于新增单位，无上年数据</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r>
        <w:rPr>
          <w:rFonts w:hint="eastAsia" w:ascii="楷体" w:hAnsi="楷体" w:eastAsia="楷体" w:cs="楷体"/>
          <w:bCs/>
          <w:color w:val="auto"/>
          <w:sz w:val="32"/>
          <w:szCs w:val="32"/>
        </w:rPr>
        <w:t>（三）部门评价结果（预算部门填写，部门所属单位不需填写）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部门评价项目数量在3个以内的，至少将1个部门评价报告向社会公开；部门评价项目数量大于3个的，至少将2个部门评价报告向社会公开。</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r>
        <w:rPr>
          <w:rFonts w:hint="eastAsia" w:ascii="楷体" w:hAnsi="楷体" w:eastAsia="楷体" w:cs="楷体"/>
          <w:bCs/>
          <w:color w:val="auto"/>
          <w:sz w:val="32"/>
          <w:szCs w:val="32"/>
        </w:rPr>
        <w:t>（四）财政评价结果（如有）</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val="zh-CN"/>
        </w:rPr>
        <w:t>反映财政部门组织开展的预算部门（单位）重点项目财政评价情况，如有，可将评价报告附后。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十一、其他重要事项情况说明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bookmarkStart w:id="95" w:name="_Toc5978_WPSOffice_Level2"/>
      <w:bookmarkStart w:id="96" w:name="_Toc18325_WPSOffice_Level2"/>
      <w:bookmarkStart w:id="97" w:name="_Toc15262_WPSOffice_Level2"/>
      <w:bookmarkStart w:id="98" w:name="_Toc23598_WPSOffice_Level2"/>
      <w:bookmarkStart w:id="99" w:name="_Toc15565_WPSOffice_Level2"/>
      <w:bookmarkStart w:id="100" w:name="_Toc32639_WPSOffice_Level2"/>
      <w:r>
        <w:rPr>
          <w:rFonts w:hint="eastAsia" w:ascii="楷体" w:hAnsi="楷体" w:eastAsia="楷体" w:cs="楷体"/>
          <w:bCs/>
          <w:color w:val="auto"/>
          <w:sz w:val="32"/>
          <w:szCs w:val="32"/>
        </w:rPr>
        <w:t>（一）机关运行经费支出情况</w:t>
      </w:r>
      <w:bookmarkEnd w:id="95"/>
      <w:bookmarkEnd w:id="96"/>
      <w:bookmarkEnd w:id="97"/>
      <w:bookmarkEnd w:id="98"/>
      <w:bookmarkEnd w:id="99"/>
      <w:bookmarkEnd w:id="100"/>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lang w:val="en-US" w:eastAsia="zh-CN"/>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w:t>
      </w:r>
      <w:r>
        <w:rPr>
          <w:rFonts w:hint="eastAsia" w:ascii="仿宋_GB2312" w:hAnsi="ˎ̥" w:eastAsia="仿宋_GB2312"/>
          <w:color w:val="auto"/>
          <w:sz w:val="32"/>
          <w:szCs w:val="32"/>
          <w:lang w:val="en-US" w:eastAsia="zh-CN"/>
        </w:rPr>
        <w:t>色尼区古露镇小学</w:t>
      </w:r>
      <w:r>
        <w:rPr>
          <w:rFonts w:hint="eastAsia" w:ascii="仿宋_GB2312" w:hAnsi="ˎ̥" w:eastAsia="仿宋_GB2312"/>
          <w:color w:val="auto"/>
          <w:sz w:val="32"/>
          <w:szCs w:val="32"/>
        </w:rPr>
        <w:t>部门（单位）机关运行经费</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万元（为部门决算中行政单位和参公事业单位财政拨款基本支出中公用经费支出之和，事业单位没有机关运行经费支出），比年初预算增加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完成预算的0</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lang w:val="en-US" w:eastAsia="zh-CN"/>
        </w:rPr>
        <w:t>与2023年度相比，机关运行经费</w:t>
      </w:r>
      <w:r>
        <w:rPr>
          <w:rFonts w:hint="eastAsia" w:ascii="仿宋_GB2312" w:hAnsi="ˎ̥" w:eastAsia="仿宋_GB2312"/>
          <w:color w:val="auto"/>
          <w:sz w:val="32"/>
          <w:szCs w:val="32"/>
        </w:rPr>
        <w:t>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lang w:val="en-US" w:eastAsia="zh-CN"/>
        </w:rPr>
        <w:t>增长0%。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未安排相关资金。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机关运行经费预算数可取自部门决算报表财决01-1表《财政拨款收入支出决算总表》，年初预算数-一般公共预算财政拨款-公用经费，注意部门汇总公开决算时，因事业单位没有机关运行经费支出，故部门汇总的机关运行经费预算数应为部门所属的各行政单位或参公单位的汇总数；决算数可取自</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年度部门决算报表F03表《机构运行信息表》“机关运行经费”栏。）</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bookmarkStart w:id="101" w:name="_Toc3131_WPSOffice_Level2"/>
      <w:bookmarkStart w:id="102" w:name="_Toc13084_WPSOffice_Level2"/>
      <w:bookmarkStart w:id="103" w:name="_Toc30383_WPSOffice_Level2"/>
      <w:bookmarkStart w:id="104" w:name="_Toc25333_WPSOffice_Level2"/>
      <w:bookmarkStart w:id="105" w:name="_Toc32689_WPSOffice_Level2"/>
      <w:bookmarkStart w:id="106" w:name="_Toc23966_WPSOffice_Level2"/>
      <w:r>
        <w:rPr>
          <w:rFonts w:hint="eastAsia" w:ascii="楷体" w:hAnsi="楷体" w:eastAsia="楷体" w:cs="楷体"/>
          <w:bCs/>
          <w:color w:val="auto"/>
          <w:sz w:val="32"/>
          <w:szCs w:val="32"/>
        </w:rPr>
        <w:t>（二）政府采购支出情况</w:t>
      </w:r>
      <w:bookmarkEnd w:id="101"/>
      <w:bookmarkEnd w:id="102"/>
      <w:bookmarkEnd w:id="103"/>
      <w:bookmarkEnd w:id="104"/>
      <w:bookmarkEnd w:id="105"/>
      <w:bookmarkEnd w:id="106"/>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w:t>
      </w:r>
      <w:r>
        <w:rPr>
          <w:rFonts w:hint="eastAsia" w:ascii="仿宋_GB2312" w:hAnsi="ˎ̥" w:eastAsia="仿宋_GB2312"/>
          <w:color w:val="auto"/>
          <w:sz w:val="32"/>
          <w:szCs w:val="32"/>
          <w:lang w:val="en-US" w:eastAsia="zh-CN"/>
        </w:rPr>
        <w:t>色尼区古露镇小学</w:t>
      </w:r>
      <w:r>
        <w:rPr>
          <w:rFonts w:hint="eastAsia" w:ascii="仿宋_GB2312" w:hAnsi="ˎ̥" w:eastAsia="仿宋_GB2312"/>
          <w:color w:val="auto"/>
          <w:sz w:val="32"/>
          <w:szCs w:val="32"/>
        </w:rPr>
        <w:t>部门（单位）政府采购支出总额</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万元，其中：政府采购货物支出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万元、政府采购工程支出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万元、政府采购服务支出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万元。授予中小企业合同金额</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万元，占政府采购支出总额的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%，其中：授予小微企业合同金额</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w:t>
      </w:r>
      <w:r>
        <w:rPr>
          <w:rFonts w:hint="eastAsia" w:ascii="仿宋_GB2312" w:hAnsi="仿宋_GB2312" w:eastAsia="仿宋_GB2312" w:cs="仿宋_GB2312"/>
          <w:color w:val="auto"/>
          <w:kern w:val="0"/>
          <w:sz w:val="32"/>
          <w:szCs w:val="32"/>
          <w:lang w:bidi="ar"/>
        </w:rPr>
        <w:t>授予中小企业合同金额</w:t>
      </w:r>
      <w:r>
        <w:rPr>
          <w:rFonts w:hint="eastAsia" w:ascii="仿宋_GB2312" w:hAnsi="仿宋_GB2312" w:eastAsia="仿宋_GB2312" w:cs="仿宋_GB2312"/>
          <w:color w:val="auto"/>
          <w:sz w:val="32"/>
          <w:szCs w:val="32"/>
        </w:rPr>
        <w:t>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上述政府采购支出相关</w:t>
      </w:r>
      <w:r>
        <w:rPr>
          <w:rFonts w:hint="eastAsia" w:ascii="仿宋_GB2312" w:hAnsi="ˎ̥" w:eastAsia="仿宋_GB2312"/>
          <w:color w:val="auto"/>
          <w:sz w:val="32"/>
          <w:szCs w:val="32"/>
          <w:lang w:val="en-US" w:eastAsia="zh-CN"/>
        </w:rPr>
        <w:t>数据</w:t>
      </w:r>
      <w:r>
        <w:rPr>
          <w:rFonts w:hint="eastAsia" w:ascii="仿宋_GB2312" w:hAnsi="ˎ̥" w:eastAsia="仿宋_GB2312"/>
          <w:color w:val="auto"/>
          <w:sz w:val="32"/>
          <w:szCs w:val="32"/>
        </w:rPr>
        <w:t>取自</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年度部门决算报表F03表《机构运行信息表》，授予中小企业和小微企业合同金额由各部门查阅本部门相关资料填写。）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bookmarkStart w:id="107" w:name="_Toc527_WPSOffice_Level2"/>
      <w:bookmarkStart w:id="108" w:name="_Toc6016_WPSOffice_Level2"/>
      <w:bookmarkStart w:id="109" w:name="_Toc10902_WPSOffice_Level2"/>
      <w:bookmarkStart w:id="110" w:name="_Toc19989_WPSOffice_Level2"/>
      <w:bookmarkStart w:id="111" w:name="_Toc29584_WPSOffice_Level2"/>
      <w:bookmarkStart w:id="112" w:name="_Toc15129_WPSOffice_Level2"/>
      <w:r>
        <w:rPr>
          <w:rFonts w:hint="eastAsia" w:ascii="楷体" w:hAnsi="楷体" w:eastAsia="楷体" w:cs="楷体"/>
          <w:bCs/>
          <w:color w:val="auto"/>
          <w:sz w:val="32"/>
          <w:szCs w:val="32"/>
        </w:rPr>
        <w:t>（三）国有资产占用情况</w:t>
      </w:r>
      <w:bookmarkEnd w:id="107"/>
      <w:bookmarkEnd w:id="108"/>
      <w:bookmarkEnd w:id="109"/>
      <w:bookmarkEnd w:id="110"/>
      <w:bookmarkEnd w:id="111"/>
      <w:bookmarkEnd w:id="112"/>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bCs/>
          <w:color w:val="auto"/>
          <w:sz w:val="32"/>
          <w:szCs w:val="32"/>
        </w:rPr>
        <w:t>截至</w:t>
      </w:r>
      <w:r>
        <w:rPr>
          <w:rFonts w:hint="default" w:ascii="仿宋_GB2312" w:hAnsi="ˎ̥" w:eastAsia="仿宋_GB2312"/>
          <w:bCs/>
          <w:color w:val="auto"/>
          <w:sz w:val="32"/>
          <w:szCs w:val="32"/>
          <w:lang w:val="en-US"/>
        </w:rPr>
        <w:t>2024</w:t>
      </w:r>
      <w:r>
        <w:rPr>
          <w:rFonts w:hint="eastAsia" w:ascii="仿宋_GB2312" w:hAnsi="ˎ̥" w:eastAsia="仿宋_GB2312"/>
          <w:bCs/>
          <w:color w:val="auto"/>
          <w:sz w:val="32"/>
          <w:szCs w:val="32"/>
        </w:rPr>
        <w:t>年12月31日，本部门拥有</w:t>
      </w:r>
      <w:r>
        <w:rPr>
          <w:rFonts w:hint="eastAsia" w:ascii="仿宋_GB2312" w:hAnsi="ˎ̥" w:eastAsia="仿宋_GB2312"/>
          <w:color w:val="auto"/>
          <w:sz w:val="32"/>
          <w:szCs w:val="32"/>
        </w:rPr>
        <w:t>房屋面积</w:t>
      </w:r>
      <w:r>
        <w:rPr>
          <w:rFonts w:hint="eastAsia" w:ascii="仿宋_GB2312" w:hAnsi="ˎ̥" w:eastAsia="仿宋_GB2312"/>
          <w:color w:val="auto"/>
          <w:sz w:val="32"/>
          <w:szCs w:val="32"/>
          <w:lang w:val="en-US" w:eastAsia="zh-CN"/>
        </w:rPr>
        <w:t>774.00</w:t>
      </w:r>
      <w:r>
        <w:rPr>
          <w:rFonts w:hint="eastAsia" w:ascii="仿宋_GB2312" w:hAnsi="ˎ̥" w:eastAsia="仿宋_GB2312"/>
          <w:color w:val="auto"/>
          <w:sz w:val="32"/>
          <w:szCs w:val="32"/>
        </w:rPr>
        <w:t>平方米</w:t>
      </w:r>
      <w:r>
        <w:rPr>
          <w:rFonts w:hint="eastAsia" w:ascii="仿宋_GB2312" w:hAnsi="ˎ̥"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color w:val="auto"/>
          <w:sz w:val="32"/>
          <w:szCs w:val="32"/>
          <w:lang w:val="en-US" w:eastAsia="zh-CN"/>
        </w:rPr>
      </w:pPr>
      <w:r>
        <w:rPr>
          <w:rFonts w:hint="eastAsia" w:ascii="仿宋_GB2312" w:hAnsi="ˎ̥" w:eastAsia="仿宋_GB2312"/>
          <w:color w:val="auto"/>
          <w:sz w:val="32"/>
          <w:szCs w:val="32"/>
        </w:rPr>
        <w:t>本部门共有车辆</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辆，其中，副部（省）级及以上领导用车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辆、主要负责人用车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辆、机要通信用车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辆、应急保障用车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辆、执法执勤用车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辆、特种专业技术用车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辆、离退休干部服务用车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辆、其他用车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w:t>
      </w:r>
      <w:r>
        <w:rPr>
          <w:rFonts w:hint="eastAsia" w:ascii="仿宋_GB2312" w:hAnsi="ˎ̥" w:eastAsia="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单价100万元（含）以上设备（不含车辆）</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台（套）。</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上述国有资产占用情况相关数</w:t>
      </w:r>
      <w:r>
        <w:rPr>
          <w:rFonts w:hint="eastAsia" w:ascii="仿宋_GB2312" w:hAnsi="ˎ̥" w:eastAsia="仿宋_GB2312"/>
          <w:color w:val="auto"/>
          <w:sz w:val="32"/>
          <w:szCs w:val="32"/>
          <w:lang w:val="en-US" w:eastAsia="zh-CN"/>
        </w:rPr>
        <w:t>据</w:t>
      </w:r>
      <w:r>
        <w:rPr>
          <w:rFonts w:hint="eastAsia" w:ascii="仿宋_GB2312" w:hAnsi="ˎ̥" w:eastAsia="仿宋_GB2312"/>
          <w:color w:val="auto"/>
          <w:sz w:val="32"/>
          <w:szCs w:val="32"/>
        </w:rPr>
        <w:t>取自</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年度部门决算F0</w:t>
      </w:r>
      <w:r>
        <w:rPr>
          <w:rFonts w:hint="default" w:ascii="仿宋_GB2312" w:hAnsi="ˎ̥" w:eastAsia="仿宋_GB2312"/>
          <w:color w:val="auto"/>
          <w:sz w:val="32"/>
          <w:szCs w:val="32"/>
          <w:lang w:val="en-US"/>
        </w:rPr>
        <w:t>2</w:t>
      </w:r>
      <w:r>
        <w:rPr>
          <w:rFonts w:hint="eastAsia" w:ascii="仿宋_GB2312" w:hAnsi="ˎ̥" w:eastAsia="仿宋_GB2312"/>
          <w:color w:val="auto"/>
          <w:sz w:val="32"/>
          <w:szCs w:val="32"/>
        </w:rPr>
        <w:t>表《预算支出相关信息表》、F03表《机构运行信息表》。）</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bookmarkStart w:id="113" w:name="_Toc15425_WPSOffice_Level1"/>
      <w:bookmarkStart w:id="114" w:name="_Toc17580_WPSOffice_Level1"/>
      <w:bookmarkStart w:id="115" w:name="_Toc4398_WPSOffice_Level1"/>
      <w:bookmarkStart w:id="116" w:name="_Toc8808_WPSOffice_Level1"/>
      <w:bookmarkStart w:id="117" w:name="_Toc11039_WPSOffice_Level1"/>
      <w:bookmarkStart w:id="118" w:name="_Toc8874_WPSOffice_Level1"/>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r>
        <w:rPr>
          <w:rFonts w:hint="eastAsia" w:ascii="黑体" w:hAnsi="ˎ̥" w:eastAsia="黑体"/>
          <w:color w:val="auto"/>
          <w:sz w:val="32"/>
          <w:szCs w:val="32"/>
        </w:rPr>
        <w:t>第四部分  名词解释</w:t>
      </w:r>
      <w:bookmarkEnd w:id="113"/>
      <w:bookmarkEnd w:id="114"/>
      <w:bookmarkEnd w:id="115"/>
      <w:bookmarkEnd w:id="116"/>
      <w:bookmarkEnd w:id="117"/>
      <w:bookmarkEnd w:id="118"/>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p>
    <w:p>
      <w:pPr>
        <w:keepNext w:val="0"/>
        <w:keepLines w:val="0"/>
        <w:pageBreakBefore w:val="0"/>
        <w:widowControl w:val="0"/>
        <w:numPr>
          <w:ilvl w:val="0"/>
          <w:numId w:val="5"/>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财政拨款收入：指同级政府财政部门当年拨付的各类财政拨款。</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二、上级补助收入：指事业单位从主管部门和上级单位取得的非财政补助收入。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三、事业收入：指事业单位开展专业业务活动及辅助活动取得的收入。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四、经营收入：指事业单位在专业业务活动及其辅助活动之外开展非独立核算经营活动取得的收入。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五、附属单位上缴收入：指事业单位取得附属独立核算单位根据有关规定上缴的收入。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六、其他收入：指除上述“财政拨款收入”“事业收入”“上级补助收入”“经营收入”“附属单位上缴收入”等以外的收入。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七、使用非财政拨款结余：指事业单位在当年的“财政拨款收入”“事业收入”“经营收入”“其他收入”等不足以安排当年支出的情况下，使用非同级财政拨款结余资金弥补本年度收支缺口。</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八、年初结转和结余：指以前年度尚未完成、结转到本年按有关规定继续使用的资金，或项目已完成等产生的结余资金。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九、结余分配：指事业单位缴纳企业所得税以及从非财政拨款结余或经营结余中提取各类结余的情况。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十、年末结转和结余：指本年度或以前年度预算安排、因客观条件发生变化无法按原计划实施，需要延迟到以后年度按有关规定继续使用的资金（不包括事业单位非财政拨款结余和专用结余）。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十一、基本支出：指为保障机构正常运转、完成日常工作任务而发生的人员支出和公用支出。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十二、项目支出：指在基本支出之外为完成特定行政任务和事业发展目标所发生的支出。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十三、经营支出：指事业单位在专业业务活动及其辅助活动之外开展非独立核算经营活动发生的支出。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四、“三公”经费：纳入本级财政预决算管理的“三公”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ascii="仿宋_GB2312" w:hAnsi="ˎ̥" w:eastAsia="仿宋_GB2312"/>
          <w:color w:val="auto"/>
          <w:sz w:val="32"/>
          <w:szCs w:val="32"/>
        </w:rPr>
      </w:pPr>
      <w:r>
        <w:rPr>
          <w:rFonts w:hint="eastAsia" w:ascii="仿宋_GB2312" w:hAnsi="ˎ̥" w:eastAsia="仿宋_GB2312"/>
          <w:color w:val="auto"/>
          <w:sz w:val="32"/>
          <w:szCs w:val="32"/>
        </w:rPr>
        <w:t>十六、</w:t>
      </w:r>
      <w:r>
        <w:rPr>
          <w:rFonts w:ascii="仿宋_GB2312" w:hAnsi="ˎ̥" w:eastAsia="仿宋_GB2312"/>
          <w:color w:val="auto"/>
          <w:sz w:val="32"/>
          <w:szCs w:val="32"/>
        </w:rPr>
        <w:t>支出功能分类：</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ascii="仿宋_GB2312" w:hAnsi="ˎ̥" w:eastAsia="仿宋_GB2312"/>
          <w:color w:val="auto"/>
          <w:sz w:val="32"/>
          <w:szCs w:val="32"/>
        </w:rPr>
      </w:pPr>
      <w:r>
        <w:rPr>
          <w:rFonts w:hint="eastAsia" w:ascii="仿宋_GB2312" w:hAnsi="ˎ̥" w:eastAsia="仿宋_GB2312"/>
          <w:color w:val="auto"/>
          <w:sz w:val="32"/>
          <w:szCs w:val="32"/>
        </w:rPr>
        <w:t>（类）（款）（项），</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default" w:ascii="仿宋_GB2312" w:hAnsi="ˎ̥" w:eastAsia="仿宋_GB2312"/>
          <w:color w:val="auto"/>
          <w:sz w:val="32"/>
          <w:szCs w:val="32"/>
          <w:lang w:val="en-US" w:eastAsia="zh-CN"/>
        </w:rPr>
      </w:pPr>
      <w:r>
        <w:rPr>
          <w:rFonts w:hint="eastAsia" w:ascii="仿宋_GB2312" w:hAnsi="ˎ̥" w:eastAsia="仿宋_GB2312"/>
          <w:color w:val="auto"/>
          <w:sz w:val="32"/>
          <w:szCs w:val="32"/>
        </w:rPr>
        <w:t>（类）（款）（项）</w:t>
      </w:r>
      <w:r>
        <w:rPr>
          <w:rFonts w:hint="eastAsia" w:ascii="仿宋_GB2312" w:hAnsi="ˎ̥"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支出功能分类的名词解释，各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单位根据实际支出情况填列，可参阅财政部印发的《</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年政府收支分类科目》</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Himalaya">
    <w:panose1 w:val="01010100010101010101"/>
    <w:charset w:val="00"/>
    <w:family w:val="auto"/>
    <w:pitch w:val="default"/>
    <w:sig w:usb0="80000003" w:usb1="00010000" w:usb2="00000040" w:usb3="00000000" w:csb0="00000001" w:csb1="00000000"/>
  </w:font>
  <w:font w:name="ˎ̥">
    <w:altName w:val="微软雅黑"/>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简体">
    <w:panose1 w:val="02010601030101010101"/>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18</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FC2DCC"/>
    <w:multiLevelType w:val="singleLevel"/>
    <w:tmpl w:val="AFFC2DCC"/>
    <w:lvl w:ilvl="0" w:tentative="0">
      <w:start w:val="1"/>
      <w:numFmt w:val="chineseCounting"/>
      <w:suff w:val="nothing"/>
      <w:lvlText w:val="%1、"/>
      <w:lvlJc w:val="left"/>
      <w:rPr>
        <w:rFonts w:hint="eastAsia"/>
      </w:rPr>
    </w:lvl>
  </w:abstractNum>
  <w:abstractNum w:abstractNumId="1">
    <w:nsid w:val="FF0F0B18"/>
    <w:multiLevelType w:val="singleLevel"/>
    <w:tmpl w:val="FF0F0B18"/>
    <w:lvl w:ilvl="0" w:tentative="0">
      <w:start w:val="1"/>
      <w:numFmt w:val="chineseCounting"/>
      <w:suff w:val="nothing"/>
      <w:lvlText w:val="%1、"/>
      <w:lvlJc w:val="left"/>
      <w:rPr>
        <w:rFonts w:hint="eastAsia"/>
      </w:rPr>
    </w:lvl>
  </w:abstractNum>
  <w:abstractNum w:abstractNumId="2">
    <w:nsid w:val="001B7C8B"/>
    <w:multiLevelType w:val="singleLevel"/>
    <w:tmpl w:val="001B7C8B"/>
    <w:lvl w:ilvl="0" w:tentative="0">
      <w:start w:val="2"/>
      <w:numFmt w:val="decimal"/>
      <w:lvlText w:val="%1."/>
      <w:lvlJc w:val="left"/>
      <w:pPr>
        <w:tabs>
          <w:tab w:val="left" w:pos="312"/>
        </w:tabs>
      </w:pPr>
    </w:lvl>
  </w:abstractNum>
  <w:abstractNum w:abstractNumId="3">
    <w:nsid w:val="3151BD5A"/>
    <w:multiLevelType w:val="singleLevel"/>
    <w:tmpl w:val="3151BD5A"/>
    <w:lvl w:ilvl="0" w:tentative="0">
      <w:start w:val="1"/>
      <w:numFmt w:val="decimal"/>
      <w:suff w:val="space"/>
      <w:lvlText w:val="%1."/>
      <w:lvlJc w:val="left"/>
    </w:lvl>
  </w:abstractNum>
  <w:abstractNum w:abstractNumId="4">
    <w:nsid w:val="72109F8D"/>
    <w:multiLevelType w:val="singleLevel"/>
    <w:tmpl w:val="72109F8D"/>
    <w:lvl w:ilvl="0" w:tentative="0">
      <w:start w:val="7"/>
      <w:numFmt w:val="chineseCounting"/>
      <w:suff w:val="nothing"/>
      <w:lvlText w:val="%1、"/>
      <w:lvlJc w:val="left"/>
      <w:rPr>
        <w:rFonts w:hint="eastAsia"/>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lZThlZDk5ZTQ4MTFjNGY3MjIxNTdiOWMzZmQwMWMifQ=="/>
  </w:docVars>
  <w:rsids>
    <w:rsidRoot w:val="A7F73C99"/>
    <w:rsid w:val="00064A91"/>
    <w:rsid w:val="000718C4"/>
    <w:rsid w:val="000779B0"/>
    <w:rsid w:val="001E4E23"/>
    <w:rsid w:val="001E510D"/>
    <w:rsid w:val="001F28C1"/>
    <w:rsid w:val="001F4EC0"/>
    <w:rsid w:val="00213789"/>
    <w:rsid w:val="002A6E07"/>
    <w:rsid w:val="0034456B"/>
    <w:rsid w:val="003D2F77"/>
    <w:rsid w:val="004C755C"/>
    <w:rsid w:val="004D515A"/>
    <w:rsid w:val="004D5572"/>
    <w:rsid w:val="0050273F"/>
    <w:rsid w:val="00513897"/>
    <w:rsid w:val="00530C81"/>
    <w:rsid w:val="005C43A2"/>
    <w:rsid w:val="005E64FB"/>
    <w:rsid w:val="005F5987"/>
    <w:rsid w:val="00602EED"/>
    <w:rsid w:val="006B0D64"/>
    <w:rsid w:val="00731FC7"/>
    <w:rsid w:val="00740E64"/>
    <w:rsid w:val="00754F6E"/>
    <w:rsid w:val="007A4101"/>
    <w:rsid w:val="008232A9"/>
    <w:rsid w:val="00896ADB"/>
    <w:rsid w:val="009A2744"/>
    <w:rsid w:val="00A54A37"/>
    <w:rsid w:val="00A70448"/>
    <w:rsid w:val="00AA19F3"/>
    <w:rsid w:val="00AC28EE"/>
    <w:rsid w:val="00AC3F0E"/>
    <w:rsid w:val="00B36E61"/>
    <w:rsid w:val="00B409FF"/>
    <w:rsid w:val="00B4133E"/>
    <w:rsid w:val="00B54DE8"/>
    <w:rsid w:val="00B63E9E"/>
    <w:rsid w:val="00BC0439"/>
    <w:rsid w:val="00C04C21"/>
    <w:rsid w:val="00C7436A"/>
    <w:rsid w:val="00CA0F14"/>
    <w:rsid w:val="00CA536B"/>
    <w:rsid w:val="00CB0D1E"/>
    <w:rsid w:val="00CD6E49"/>
    <w:rsid w:val="00CD794A"/>
    <w:rsid w:val="00DB612B"/>
    <w:rsid w:val="00DC2A37"/>
    <w:rsid w:val="00E07782"/>
    <w:rsid w:val="00E70EA3"/>
    <w:rsid w:val="00F0336A"/>
    <w:rsid w:val="00F06DA9"/>
    <w:rsid w:val="00F103D6"/>
    <w:rsid w:val="00F25220"/>
    <w:rsid w:val="00FA2884"/>
    <w:rsid w:val="00FC03DC"/>
    <w:rsid w:val="00FC5708"/>
    <w:rsid w:val="09201287"/>
    <w:rsid w:val="0E1569CF"/>
    <w:rsid w:val="0FC80124"/>
    <w:rsid w:val="119230B0"/>
    <w:rsid w:val="12CE7EB7"/>
    <w:rsid w:val="136F98C7"/>
    <w:rsid w:val="17427E68"/>
    <w:rsid w:val="1755065F"/>
    <w:rsid w:val="1AFC29C9"/>
    <w:rsid w:val="1CA52F2E"/>
    <w:rsid w:val="1DFE370B"/>
    <w:rsid w:val="1E3630B9"/>
    <w:rsid w:val="26EEC2B5"/>
    <w:rsid w:val="29472309"/>
    <w:rsid w:val="2B406E77"/>
    <w:rsid w:val="2C2A0C43"/>
    <w:rsid w:val="2D1E73A5"/>
    <w:rsid w:val="32717154"/>
    <w:rsid w:val="34B63260"/>
    <w:rsid w:val="37FDA7E2"/>
    <w:rsid w:val="3A314D88"/>
    <w:rsid w:val="3A746883"/>
    <w:rsid w:val="3CA15DE9"/>
    <w:rsid w:val="3FE61EE5"/>
    <w:rsid w:val="406508EE"/>
    <w:rsid w:val="408D6263"/>
    <w:rsid w:val="41B40CEE"/>
    <w:rsid w:val="48317291"/>
    <w:rsid w:val="485F7024"/>
    <w:rsid w:val="48E70666"/>
    <w:rsid w:val="4C6877E5"/>
    <w:rsid w:val="4D6A468D"/>
    <w:rsid w:val="4EA86137"/>
    <w:rsid w:val="56CA7FD0"/>
    <w:rsid w:val="57FA38D1"/>
    <w:rsid w:val="5F7D3333"/>
    <w:rsid w:val="61385890"/>
    <w:rsid w:val="62B158CC"/>
    <w:rsid w:val="687436E1"/>
    <w:rsid w:val="6B6A1A47"/>
    <w:rsid w:val="6DA45C50"/>
    <w:rsid w:val="6E9A7825"/>
    <w:rsid w:val="6F670F9B"/>
    <w:rsid w:val="737450E0"/>
    <w:rsid w:val="74054476"/>
    <w:rsid w:val="742F38C4"/>
    <w:rsid w:val="74AB66DC"/>
    <w:rsid w:val="74C4154C"/>
    <w:rsid w:val="75956FFF"/>
    <w:rsid w:val="77AA2D01"/>
    <w:rsid w:val="7CDE1DBD"/>
    <w:rsid w:val="7D943A85"/>
    <w:rsid w:val="7DB0448C"/>
    <w:rsid w:val="7E5F9AA4"/>
    <w:rsid w:val="8FFC8888"/>
    <w:rsid w:val="A7F73C99"/>
    <w:rsid w:val="BFFE3BF4"/>
    <w:rsid w:val="DFEBDA37"/>
    <w:rsid w:val="EF6FCA1D"/>
    <w:rsid w:val="EFFF57D6"/>
    <w:rsid w:val="FD33A2D0"/>
    <w:rsid w:val="FF7FA20F"/>
    <w:rsid w:val="FFFE81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link w:val="11"/>
    <w:qFormat/>
    <w:uiPriority w:val="0"/>
    <w:pPr>
      <w:jc w:val="left"/>
    </w:p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qFormat/>
    <w:uiPriority w:val="0"/>
    <w:rPr>
      <w:b/>
      <w:bCs/>
    </w:rPr>
  </w:style>
  <w:style w:type="character" w:styleId="9">
    <w:name w:val="page number"/>
    <w:qFormat/>
    <w:uiPriority w:val="0"/>
  </w:style>
  <w:style w:type="character" w:styleId="10">
    <w:name w:val="annotation reference"/>
    <w:qFormat/>
    <w:uiPriority w:val="0"/>
    <w:rPr>
      <w:sz w:val="21"/>
      <w:szCs w:val="21"/>
    </w:rPr>
  </w:style>
  <w:style w:type="character" w:customStyle="1" w:styleId="11">
    <w:name w:val="批注文字 Char"/>
    <w:link w:val="2"/>
    <w:qFormat/>
    <w:uiPriority w:val="0"/>
    <w:rPr>
      <w:kern w:val="2"/>
      <w:sz w:val="21"/>
      <w:szCs w:val="24"/>
    </w:rPr>
  </w:style>
  <w:style w:type="character" w:customStyle="1" w:styleId="12">
    <w:name w:val="批注框文本 Char"/>
    <w:link w:val="3"/>
    <w:qFormat/>
    <w:uiPriority w:val="0"/>
    <w:rPr>
      <w:kern w:val="2"/>
      <w:sz w:val="18"/>
      <w:szCs w:val="18"/>
    </w:rPr>
  </w:style>
  <w:style w:type="character" w:customStyle="1" w:styleId="13">
    <w:name w:val="页眉 Char"/>
    <w:link w:val="5"/>
    <w:qFormat/>
    <w:uiPriority w:val="0"/>
    <w:rPr>
      <w:kern w:val="2"/>
      <w:sz w:val="18"/>
      <w:szCs w:val="18"/>
    </w:rPr>
  </w:style>
  <w:style w:type="character" w:customStyle="1" w:styleId="14">
    <w:name w:val="批注主题 Char"/>
    <w:link w:val="6"/>
    <w:qFormat/>
    <w:uiPriority w:val="0"/>
    <w:rPr>
      <w:b/>
      <w:bCs/>
      <w:kern w:val="2"/>
      <w:sz w:val="21"/>
      <w:szCs w:val="24"/>
    </w:rPr>
  </w:style>
  <w:style w:type="paragraph" w:customStyle="1" w:styleId="15">
    <w:name w:val="WPSOffice手动目录 1"/>
    <w:qFormat/>
    <w:uiPriority w:val="0"/>
    <w:rPr>
      <w:rFonts w:ascii="Times New Roman" w:hAnsi="Times New Roman" w:eastAsia="宋体" w:cs="Times New Roman"/>
      <w:lang w:val="en-US" w:eastAsia="zh-CN" w:bidi="ar-SA"/>
    </w:rPr>
  </w:style>
  <w:style w:type="paragraph" w:customStyle="1" w:styleId="16">
    <w:name w:val="WPSOffice手动目录 2"/>
    <w:qFormat/>
    <w:uiPriority w:val="0"/>
    <w:pPr>
      <w:ind w:leftChars="200"/>
    </w:pPr>
    <w:rPr>
      <w:rFonts w:ascii="Times New Roman" w:hAnsi="Times New Roman" w:eastAsia="宋体" w:cs="Times New Roman"/>
      <w:lang w:val="en-US" w:eastAsia="zh-CN" w:bidi="ar-SA"/>
    </w:rPr>
  </w:style>
  <w:style w:type="paragraph" w:customStyle="1" w:styleId="17">
    <w:name w:val="正文1 Char Char Char"/>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7186</Words>
  <Characters>10522</Characters>
  <Lines>67</Lines>
  <Paragraphs>18</Paragraphs>
  <TotalTime>3</TotalTime>
  <ScaleCrop>false</ScaleCrop>
  <LinksUpToDate>false</LinksUpToDate>
  <CharactersWithSpaces>10608</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2024-07-24T03:26:00Z</dcterms:created>
  <dc:creator>uos</dc:creator>
  <cp:lastModifiedBy>Administrator</cp:lastModifiedBy>
  <cp:lastPrinted>2023-08-03T00:58:00Z</cp:lastPrinted>
  <dcterms:modified xsi:type="dcterms:W3CDTF">2025-10-11T04:10:35Z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03AE7F14E2DC4BACB053764200FF950D_13</vt:lpwstr>
  </property>
  <property fmtid="{D5CDD505-2E9C-101B-9397-08002B2CF9AE}" pid="4" name="KSOTemplateDocerSaveRecord">
    <vt:lpwstr>eyJoZGlkIjoiY2VlZThlZDk5ZTQ4MTFjNGY3MjIxNTdiOWMzZmQwMWMiLCJ1c2VySWQiOiIyMzQ5MTc1OTYifQ==</vt:lpwstr>
  </property>
</Properties>
</file>