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西藏那曲市色尼区</w:t>
      </w:r>
      <w:r>
        <w:rPr>
          <w:rFonts w:hint="eastAsia" w:asciiTheme="majorEastAsia" w:hAnsiTheme="majorEastAsia" w:eastAsiaTheme="majorEastAsia" w:cstheme="majorEastAsia"/>
          <w:b/>
          <w:bCs/>
          <w:color w:val="000000" w:themeColor="text1"/>
          <w:sz w:val="44"/>
          <w:szCs w:val="44"/>
          <w14:textFill>
            <w14:solidFill>
              <w14:schemeClr w14:val="tx1"/>
            </w14:solidFill>
          </w14:textFill>
        </w:rPr>
        <w:t>色尼区</w:t>
      </w:r>
      <w:r>
        <w:rPr>
          <w:rFonts w:hint="eastAsia" w:asciiTheme="majorEastAsia" w:hAnsiTheme="majorEastAsia" w:eastAsiaTheme="majorEastAsia" w:cstheme="majorEastAsia"/>
          <w:b/>
          <w:bCs/>
          <w:color w:val="000000" w:themeColor="text1"/>
          <w:sz w:val="44"/>
          <w:szCs w:val="44"/>
          <w:lang w:val="en-US" w:eastAsia="zh-CN"/>
          <w14:textFill>
            <w14:solidFill>
              <w14:schemeClr w14:val="tx1"/>
            </w14:solidFill>
          </w14:textFill>
        </w:rPr>
        <w:t>油</w:t>
      </w:r>
      <w:r>
        <w:rPr>
          <w:rFonts w:hint="eastAsia" w:asciiTheme="majorEastAsia" w:hAnsiTheme="majorEastAsia" w:eastAsiaTheme="majorEastAsia" w:cstheme="majorEastAsia"/>
          <w:b/>
          <w:bCs/>
          <w:color w:val="000000" w:themeColor="text1"/>
          <w:sz w:val="44"/>
          <w:szCs w:val="44"/>
          <w14:textFill>
            <w14:solidFill>
              <w14:schemeClr w14:val="tx1"/>
            </w14:solidFill>
          </w14:textFill>
        </w:rPr>
        <w:t>恰乡幼儿园</w:t>
      </w:r>
      <w:r>
        <w:rPr>
          <w:rFonts w:hint="eastAsia" w:asciiTheme="majorEastAsia" w:hAnsiTheme="majorEastAsia" w:eastAsiaTheme="majorEastAsia" w:cstheme="majorEastAsia"/>
          <w:b/>
          <w:bCs/>
          <w:color w:val="auto"/>
          <w:sz w:val="44"/>
          <w:szCs w:val="44"/>
        </w:rPr>
        <w:t>2024年度部门决算公开报告</w:t>
      </w:r>
    </w:p>
    <w:p>
      <w:pPr>
        <w:spacing w:line="578" w:lineRule="exact"/>
        <w:jc w:val="center"/>
        <w:rPr>
          <w:rFonts w:hint="eastAsia" w:ascii="黑体" w:hAnsi="ˎ̥" w:eastAsia="黑体"/>
          <w:b/>
          <w:color w:val="auto"/>
          <w:sz w:val="32"/>
          <w:szCs w:val="32"/>
          <w:shd w:val="clear" w:color="auto" w:fill="auto"/>
          <w:lang w:val="en-US" w:eastAsia="zh-CN"/>
        </w:rPr>
      </w:pPr>
      <w:r>
        <w:rPr>
          <w:rFonts w:hint="eastAsia" w:ascii="黑体" w:hAnsi="ˎ̥" w:eastAsia="黑体"/>
          <w:b/>
          <w:color w:val="auto"/>
          <w:sz w:val="32"/>
          <w:szCs w:val="32"/>
          <w:shd w:val="clear" w:color="auto" w:fill="auto"/>
          <w:lang w:val="en-US" w:eastAsia="zh-CN"/>
        </w:rPr>
        <w:t xml:space="preserve"> </w:t>
      </w:r>
    </w:p>
    <w:p>
      <w:pPr>
        <w:spacing w:line="578" w:lineRule="exact"/>
        <w:jc w:val="center"/>
        <w:rPr>
          <w:rFonts w:hint="eastAsia" w:ascii="黑体" w:hAnsi="黑体" w:eastAsia="黑体" w:cs="黑体"/>
          <w:color w:val="auto"/>
          <w:sz w:val="44"/>
          <w:szCs w:val="44"/>
          <w:shd w:val="clear" w:color="auto" w:fill="auto"/>
        </w:rPr>
      </w:pPr>
      <w:bookmarkStart w:id="0" w:name="_Toc11440_WPSOffice_Type2"/>
      <w:r>
        <w:rPr>
          <w:rFonts w:hint="eastAsia" w:ascii="黑体" w:hAnsi="黑体" w:eastAsia="黑体" w:cs="黑体"/>
          <w:color w:val="auto"/>
          <w:sz w:val="44"/>
          <w:szCs w:val="44"/>
          <w:shd w:val="clear" w:color="auto" w:fill="auto"/>
        </w:rPr>
        <w:t>目  录</w:t>
      </w:r>
    </w:p>
    <w:p>
      <w:pPr>
        <w:pStyle w:val="15"/>
        <w:tabs>
          <w:tab w:val="right" w:leader="dot" w:pos="8306"/>
        </w:tabs>
        <w:spacing w:line="578" w:lineRule="exact"/>
        <w:rPr>
          <w:rFonts w:hint="eastAsia"/>
          <w:color w:val="auto"/>
          <w:sz w:val="32"/>
          <w:szCs w:val="32"/>
          <w:shd w:val="clear" w:color="auto" w:fill="auto"/>
        </w:rPr>
      </w:pPr>
      <w:r>
        <w:rPr>
          <w:color w:val="auto"/>
          <w:sz w:val="32"/>
          <w:szCs w:val="32"/>
          <w:shd w:val="clear" w:color="auto" w:fill="auto"/>
        </w:rPr>
        <w:fldChar w:fldCharType="begin"/>
      </w:r>
      <w:r>
        <w:rPr>
          <w:color w:val="auto"/>
          <w:sz w:val="32"/>
          <w:szCs w:val="32"/>
          <w:shd w:val="clear" w:color="auto" w:fill="auto"/>
        </w:rPr>
        <w:instrText xml:space="preserve"> HYPERLINK \l _Toc1704_WPSOffice_Level1 </w:instrText>
      </w:r>
      <w:r>
        <w:rPr>
          <w:color w:val="auto"/>
          <w:sz w:val="32"/>
          <w:szCs w:val="32"/>
          <w:shd w:val="clear" w:color="auto" w:fill="auto"/>
        </w:rPr>
        <w:fldChar w:fldCharType="separate"/>
      </w:r>
      <w:r>
        <w:rPr>
          <w:rFonts w:hint="eastAsia" w:ascii="黑体" w:hAnsi="ˎ̥" w:eastAsia="黑体"/>
          <w:color w:val="auto"/>
          <w:sz w:val="32"/>
          <w:szCs w:val="32"/>
          <w:shd w:val="clear" w:color="auto" w:fill="auto"/>
        </w:rPr>
        <w:t>第一部分 基本情况</w:t>
      </w:r>
      <w:r>
        <w:rPr>
          <w:color w:val="auto"/>
          <w:sz w:val="32"/>
          <w:szCs w:val="32"/>
          <w:shd w:val="clear" w:color="auto" w:fill="auto"/>
        </w:rPr>
        <w:tab/>
      </w:r>
      <w:r>
        <w:rPr>
          <w:color w:val="auto"/>
          <w:sz w:val="32"/>
          <w:szCs w:val="32"/>
          <w:shd w:val="clear" w:color="auto" w:fill="auto"/>
        </w:rPr>
        <w:fldChar w:fldCharType="end"/>
      </w:r>
      <w:r>
        <w:rPr>
          <w:rFonts w:hint="eastAsia"/>
          <w:color w:val="auto"/>
          <w:sz w:val="32"/>
          <w:szCs w:val="32"/>
          <w:shd w:val="clear" w:color="auto" w:fill="auto"/>
        </w:rPr>
        <w:t>2</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_Toc20274_WPSOffice_Level2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color w:val="auto"/>
          <w:sz w:val="32"/>
          <w:szCs w:val="32"/>
          <w:shd w:val="clear" w:color="auto" w:fill="auto"/>
        </w:rPr>
        <w:t>一、部门（单位）职责</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2</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_Toc4833_WPSOffice_Level2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color w:val="auto"/>
          <w:sz w:val="32"/>
          <w:szCs w:val="32"/>
          <w:shd w:val="clear" w:color="auto" w:fill="auto"/>
        </w:rPr>
        <w:t>二、机构设置</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2</w:t>
      </w:r>
    </w:p>
    <w:p>
      <w:pPr>
        <w:pStyle w:val="15"/>
        <w:tabs>
          <w:tab w:val="right" w:leader="dot" w:pos="8306"/>
        </w:tabs>
        <w:spacing w:line="578" w:lineRule="exact"/>
        <w:rPr>
          <w:rFonts w:hint="eastAsia"/>
          <w:color w:val="auto"/>
          <w:sz w:val="32"/>
          <w:szCs w:val="32"/>
          <w:shd w:val="clear" w:color="auto" w:fill="auto"/>
        </w:rPr>
      </w:pPr>
      <w:r>
        <w:rPr>
          <w:color w:val="auto"/>
          <w:sz w:val="32"/>
          <w:szCs w:val="32"/>
          <w:shd w:val="clear" w:color="auto" w:fill="auto"/>
        </w:rPr>
        <w:fldChar w:fldCharType="begin"/>
      </w:r>
      <w:r>
        <w:rPr>
          <w:color w:val="auto"/>
          <w:sz w:val="32"/>
          <w:szCs w:val="32"/>
          <w:shd w:val="clear" w:color="auto" w:fill="auto"/>
        </w:rPr>
        <w:instrText xml:space="preserve"> HYPERLINK \l _Toc28253_WPSOffice_Level1 </w:instrText>
      </w:r>
      <w:r>
        <w:rPr>
          <w:color w:val="auto"/>
          <w:sz w:val="32"/>
          <w:szCs w:val="32"/>
          <w:shd w:val="clear" w:color="auto" w:fill="auto"/>
        </w:rPr>
        <w:fldChar w:fldCharType="separate"/>
      </w:r>
      <w:r>
        <w:rPr>
          <w:rFonts w:hint="eastAsia" w:ascii="黑体" w:hAnsi="ˎ̥" w:eastAsia="黑体"/>
          <w:color w:val="auto"/>
          <w:sz w:val="32"/>
          <w:szCs w:val="32"/>
          <w:shd w:val="clear" w:color="auto" w:fill="auto"/>
        </w:rPr>
        <w:t xml:space="preserve">第二部分  </w:t>
      </w:r>
      <w:r>
        <w:rPr>
          <w:rFonts w:hint="default" w:ascii="黑体" w:hAnsi="ˎ̥" w:eastAsia="黑体"/>
          <w:color w:val="auto"/>
          <w:sz w:val="32"/>
          <w:szCs w:val="32"/>
          <w:shd w:val="clear" w:color="auto" w:fill="auto"/>
          <w:lang w:val="en-US"/>
        </w:rPr>
        <w:t>2024</w:t>
      </w:r>
      <w:r>
        <w:rPr>
          <w:rFonts w:hint="eastAsia" w:ascii="黑体" w:hAnsi="ˎ̥" w:eastAsia="黑体"/>
          <w:color w:val="auto"/>
          <w:sz w:val="32"/>
          <w:szCs w:val="32"/>
          <w:shd w:val="clear" w:color="auto" w:fill="auto"/>
        </w:rPr>
        <w:t>年度部门决算公开表</w:t>
      </w:r>
      <w:r>
        <w:rPr>
          <w:color w:val="auto"/>
          <w:sz w:val="32"/>
          <w:szCs w:val="32"/>
          <w:shd w:val="clear" w:color="auto" w:fill="auto"/>
        </w:rPr>
        <w:tab/>
      </w:r>
      <w:r>
        <w:rPr>
          <w:color w:val="auto"/>
          <w:sz w:val="32"/>
          <w:szCs w:val="32"/>
          <w:shd w:val="clear" w:color="auto" w:fill="auto"/>
        </w:rPr>
        <w:fldChar w:fldCharType="end"/>
      </w:r>
      <w:r>
        <w:rPr>
          <w:rFonts w:hint="eastAsia"/>
          <w:color w:val="auto"/>
          <w:sz w:val="32"/>
          <w:szCs w:val="32"/>
          <w:shd w:val="clear" w:color="auto" w:fill="auto"/>
        </w:rPr>
        <w:t>2</w:t>
      </w:r>
    </w:p>
    <w:p>
      <w:pPr>
        <w:pStyle w:val="15"/>
        <w:tabs>
          <w:tab w:val="right" w:leader="dot" w:pos="8306"/>
        </w:tabs>
        <w:spacing w:line="578" w:lineRule="exact"/>
        <w:rPr>
          <w:rFonts w:hint="eastAsia"/>
          <w:color w:val="auto"/>
          <w:sz w:val="32"/>
          <w:szCs w:val="32"/>
          <w:shd w:val="clear" w:color="auto" w:fill="auto"/>
        </w:rPr>
      </w:pPr>
      <w:r>
        <w:rPr>
          <w:color w:val="auto"/>
          <w:sz w:val="32"/>
          <w:szCs w:val="32"/>
          <w:shd w:val="clear" w:color="auto" w:fill="auto"/>
        </w:rPr>
        <w:fldChar w:fldCharType="begin"/>
      </w:r>
      <w:r>
        <w:rPr>
          <w:color w:val="auto"/>
          <w:sz w:val="32"/>
          <w:szCs w:val="32"/>
          <w:shd w:val="clear" w:color="auto" w:fill="auto"/>
        </w:rPr>
        <w:instrText xml:space="preserve"> HYPERLINK \l _Toc27590_WPSOffice_Level1 </w:instrText>
      </w:r>
      <w:r>
        <w:rPr>
          <w:color w:val="auto"/>
          <w:sz w:val="32"/>
          <w:szCs w:val="32"/>
          <w:shd w:val="clear" w:color="auto" w:fill="auto"/>
        </w:rPr>
        <w:fldChar w:fldCharType="separate"/>
      </w:r>
      <w:r>
        <w:rPr>
          <w:rFonts w:hint="eastAsia" w:ascii="黑体" w:hAnsi="黑体" w:eastAsia="黑体" w:cs="黑体"/>
          <w:color w:val="auto"/>
          <w:sz w:val="32"/>
          <w:szCs w:val="32"/>
          <w:shd w:val="clear" w:color="auto" w:fill="auto"/>
        </w:rPr>
        <w:t>第三部分</w:t>
      </w:r>
      <w:r>
        <w:rPr>
          <w:rFonts w:hint="eastAsia"/>
          <w:color w:val="auto"/>
          <w:sz w:val="32"/>
          <w:szCs w:val="32"/>
          <w:shd w:val="clear" w:color="auto" w:fill="auto"/>
        </w:rPr>
        <w:t xml:space="preserve">  </w:t>
      </w:r>
      <w:r>
        <w:rPr>
          <w:rFonts w:hint="default" w:ascii="黑体" w:hAnsi="ˎ̥" w:eastAsia="黑体"/>
          <w:color w:val="auto"/>
          <w:sz w:val="32"/>
          <w:szCs w:val="32"/>
          <w:shd w:val="clear" w:color="auto" w:fill="auto"/>
          <w:lang w:val="en-US"/>
        </w:rPr>
        <w:t>2024</w:t>
      </w:r>
      <w:r>
        <w:rPr>
          <w:rFonts w:hint="eastAsia" w:ascii="黑体" w:hAnsi="ˎ̥" w:eastAsia="黑体"/>
          <w:color w:val="auto"/>
          <w:sz w:val="32"/>
          <w:szCs w:val="32"/>
          <w:shd w:val="clear" w:color="auto" w:fill="auto"/>
        </w:rPr>
        <w:t>年度部门决算情况说明</w:t>
      </w:r>
      <w:r>
        <w:rPr>
          <w:color w:val="auto"/>
          <w:sz w:val="32"/>
          <w:szCs w:val="32"/>
          <w:shd w:val="clear" w:color="auto" w:fill="auto"/>
        </w:rPr>
        <w:tab/>
      </w:r>
      <w:r>
        <w:rPr>
          <w:color w:val="auto"/>
          <w:sz w:val="32"/>
          <w:szCs w:val="32"/>
          <w:shd w:val="clear" w:color="auto" w:fill="auto"/>
        </w:rPr>
        <w:fldChar w:fldCharType="end"/>
      </w:r>
      <w:r>
        <w:rPr>
          <w:rFonts w:hint="eastAsia"/>
          <w:color w:val="auto"/>
          <w:sz w:val="32"/>
          <w:szCs w:val="32"/>
          <w:shd w:val="clear" w:color="auto" w:fill="auto"/>
        </w:rPr>
        <w:t>3</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_Toc21737_WPSOffice_Level2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一、收入支出总体情况说明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3</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_Toc19535_WPSOffice_Level2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二、收入决算情况说明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4</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_Toc19535_WPSOffice_Level2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三、支出决算情况说明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4</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_Toc19535_WPSOffice_Level2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四、财政拨款收入支出决算</w:t>
      </w:r>
      <w:r>
        <w:rPr>
          <w:rFonts w:hint="eastAsia" w:ascii="仿宋" w:hAnsi="仿宋" w:eastAsia="仿宋" w:cs="仿宋"/>
          <w:bCs/>
          <w:color w:val="auto"/>
          <w:sz w:val="32"/>
          <w:szCs w:val="32"/>
          <w:shd w:val="clear" w:color="auto" w:fill="auto"/>
          <w:lang w:val="en-US" w:eastAsia="zh-CN"/>
        </w:rPr>
        <w:t>总体</w:t>
      </w:r>
      <w:r>
        <w:rPr>
          <w:rFonts w:hint="eastAsia" w:ascii="仿宋" w:hAnsi="仿宋" w:eastAsia="仿宋" w:cs="仿宋"/>
          <w:bCs/>
          <w:color w:val="auto"/>
          <w:sz w:val="32"/>
          <w:szCs w:val="32"/>
          <w:shd w:val="clear" w:color="auto" w:fill="auto"/>
        </w:rPr>
        <w:t>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4</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_Toc19535_WPSOffice_Level2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五、一般公共预算财政拨款支出决算情况说明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5</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_Toc19535_WPSOffice_Level2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六、一般公共预算财政拨款基本支出决算情况说明</w:t>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t>6</w:t>
      </w:r>
    </w:p>
    <w:p>
      <w:pPr>
        <w:pStyle w:val="16"/>
        <w:numPr>
          <w:ilvl w:val="0"/>
          <w:numId w:val="1"/>
        </w:numPr>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bCs/>
          <w:color w:val="auto"/>
          <w:sz w:val="32"/>
          <w:szCs w:val="32"/>
          <w:shd w:val="clear" w:color="auto" w:fill="auto"/>
        </w:rPr>
        <w:t>政府性基金预算财政拨款支出决算情况说明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t>7</w:t>
      </w:r>
    </w:p>
    <w:p>
      <w:pPr>
        <w:pStyle w:val="16"/>
        <w:numPr>
          <w:ilvl w:val="0"/>
          <w:numId w:val="1"/>
        </w:numPr>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bCs/>
          <w:color w:val="auto"/>
          <w:sz w:val="32"/>
          <w:szCs w:val="32"/>
          <w:shd w:val="clear" w:color="auto" w:fill="auto"/>
        </w:rPr>
        <w:t>国有资本经营预算财政拨款支出决算情况说明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t>8</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_Toc19535_WPSOffice_Level2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九、财政拨款“三公”经费支出决算情况说明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9</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color w:val="auto"/>
          <w:sz w:val="32"/>
          <w:szCs w:val="32"/>
          <w:shd w:val="clear" w:color="auto" w:fill="auto"/>
        </w:rPr>
        <w:fldChar w:fldCharType="begin"/>
      </w:r>
      <w:r>
        <w:rPr>
          <w:rFonts w:hint="eastAsia" w:ascii="仿宋" w:hAnsi="仿宋" w:eastAsia="仿宋" w:cs="仿宋"/>
          <w:color w:val="auto"/>
          <w:sz w:val="32"/>
          <w:szCs w:val="32"/>
          <w:shd w:val="clear" w:color="auto" w:fill="auto"/>
        </w:rPr>
        <w:instrText xml:space="preserve"> HYPERLINK \l _Toc19535_WPSOffice_Level2 </w:instrText>
      </w:r>
      <w:r>
        <w:rPr>
          <w:rFonts w:hint="eastAsia" w:ascii="仿宋" w:hAnsi="仿宋" w:eastAsia="仿宋" w:cs="仿宋"/>
          <w:color w:val="auto"/>
          <w:sz w:val="32"/>
          <w:szCs w:val="32"/>
          <w:shd w:val="clear" w:color="auto" w:fill="auto"/>
        </w:rPr>
        <w:fldChar w:fldCharType="separate"/>
      </w:r>
      <w:r>
        <w:rPr>
          <w:rFonts w:hint="eastAsia" w:ascii="仿宋" w:hAnsi="仿宋" w:eastAsia="仿宋" w:cs="仿宋"/>
          <w:bCs/>
          <w:color w:val="auto"/>
          <w:sz w:val="32"/>
          <w:szCs w:val="32"/>
          <w:shd w:val="clear" w:color="auto" w:fill="auto"/>
        </w:rPr>
        <w:t>十、预算绩效情况说明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fldChar w:fldCharType="end"/>
      </w:r>
      <w:r>
        <w:rPr>
          <w:rFonts w:hint="eastAsia" w:ascii="仿宋" w:hAnsi="仿宋" w:eastAsia="仿宋" w:cs="仿宋"/>
          <w:color w:val="auto"/>
          <w:sz w:val="32"/>
          <w:szCs w:val="32"/>
          <w:shd w:val="clear" w:color="auto" w:fill="auto"/>
        </w:rPr>
        <w:t>11</w:t>
      </w:r>
    </w:p>
    <w:p>
      <w:pPr>
        <w:pStyle w:val="16"/>
        <w:tabs>
          <w:tab w:val="right" w:leader="dot" w:pos="8306"/>
        </w:tabs>
        <w:spacing w:line="578" w:lineRule="exact"/>
        <w:ind w:leftChars="0"/>
        <w:rPr>
          <w:rFonts w:hint="eastAsia" w:ascii="仿宋" w:hAnsi="仿宋" w:eastAsia="仿宋" w:cs="仿宋"/>
          <w:color w:val="auto"/>
          <w:sz w:val="32"/>
          <w:szCs w:val="32"/>
          <w:shd w:val="clear" w:color="auto" w:fill="auto"/>
        </w:rPr>
      </w:pPr>
      <w:r>
        <w:rPr>
          <w:rFonts w:hint="eastAsia" w:ascii="仿宋" w:hAnsi="仿宋" w:eastAsia="仿宋" w:cs="仿宋"/>
          <w:bCs/>
          <w:color w:val="auto"/>
          <w:sz w:val="32"/>
          <w:szCs w:val="32"/>
          <w:shd w:val="clear" w:color="auto" w:fill="auto"/>
        </w:rPr>
        <w:t>十一、其他重要事项情况说明</w:t>
      </w:r>
      <w:r>
        <w:rPr>
          <w:rFonts w:hint="eastAsia" w:ascii="仿宋" w:hAnsi="仿宋" w:eastAsia="仿宋" w:cs="仿宋"/>
          <w:color w:val="auto"/>
          <w:sz w:val="32"/>
          <w:szCs w:val="32"/>
          <w:shd w:val="clear" w:color="auto" w:fill="auto"/>
        </w:rPr>
        <w:tab/>
      </w:r>
      <w:r>
        <w:rPr>
          <w:rFonts w:hint="eastAsia" w:ascii="仿宋" w:hAnsi="仿宋" w:eastAsia="仿宋" w:cs="仿宋"/>
          <w:color w:val="auto"/>
          <w:sz w:val="32"/>
          <w:szCs w:val="32"/>
          <w:shd w:val="clear" w:color="auto" w:fill="auto"/>
        </w:rPr>
        <w:t>13</w:t>
      </w:r>
    </w:p>
    <w:p>
      <w:pPr>
        <w:pStyle w:val="15"/>
        <w:tabs>
          <w:tab w:val="right" w:leader="dot" w:pos="8306"/>
        </w:tabs>
        <w:spacing w:line="578" w:lineRule="exact"/>
        <w:rPr>
          <w:rFonts w:hint="eastAsia" w:ascii="黑体" w:hAnsi="ˎ̥"/>
          <w:b/>
          <w:color w:val="auto"/>
          <w:sz w:val="32"/>
          <w:szCs w:val="32"/>
          <w:shd w:val="clear" w:color="auto" w:fill="auto"/>
        </w:rPr>
      </w:pPr>
      <w:r>
        <w:rPr>
          <w:color w:val="auto"/>
          <w:sz w:val="32"/>
          <w:szCs w:val="32"/>
          <w:shd w:val="clear" w:color="auto" w:fill="auto"/>
        </w:rPr>
        <w:fldChar w:fldCharType="begin"/>
      </w:r>
      <w:r>
        <w:rPr>
          <w:color w:val="auto"/>
          <w:sz w:val="32"/>
          <w:szCs w:val="32"/>
          <w:shd w:val="clear" w:color="auto" w:fill="auto"/>
        </w:rPr>
        <w:instrText xml:space="preserve"> HYPERLINK \l _Toc15425_WPSOffice_Level1 </w:instrText>
      </w:r>
      <w:r>
        <w:rPr>
          <w:color w:val="auto"/>
          <w:sz w:val="32"/>
          <w:szCs w:val="32"/>
          <w:shd w:val="clear" w:color="auto" w:fill="auto"/>
        </w:rPr>
        <w:fldChar w:fldCharType="separate"/>
      </w:r>
      <w:r>
        <w:rPr>
          <w:rFonts w:hint="eastAsia" w:ascii="黑体" w:hAnsi="ˎ̥" w:eastAsia="黑体"/>
          <w:color w:val="auto"/>
          <w:sz w:val="32"/>
          <w:szCs w:val="32"/>
          <w:shd w:val="clear" w:color="auto" w:fill="auto"/>
        </w:rPr>
        <w:t>第四部分  名词解释</w:t>
      </w:r>
      <w:r>
        <w:rPr>
          <w:color w:val="auto"/>
          <w:sz w:val="32"/>
          <w:szCs w:val="32"/>
          <w:shd w:val="clear" w:color="auto" w:fill="auto"/>
        </w:rPr>
        <w:tab/>
      </w:r>
      <w:bookmarkStart w:id="1" w:name="_Toc15425_WPSOffice_Level1Page"/>
      <w:r>
        <w:rPr>
          <w:color w:val="auto"/>
          <w:sz w:val="32"/>
          <w:szCs w:val="32"/>
          <w:shd w:val="clear" w:color="auto" w:fill="auto"/>
        </w:rPr>
        <w:t>1</w:t>
      </w:r>
      <w:bookmarkEnd w:id="1"/>
      <w:r>
        <w:rPr>
          <w:color w:val="auto"/>
          <w:sz w:val="32"/>
          <w:szCs w:val="32"/>
          <w:shd w:val="clear" w:color="auto" w:fill="auto"/>
        </w:rPr>
        <w:fldChar w:fldCharType="end"/>
      </w:r>
      <w:bookmarkEnd w:id="0"/>
      <w:r>
        <w:rPr>
          <w:rFonts w:hint="eastAsia"/>
          <w:color w:val="auto"/>
          <w:sz w:val="32"/>
          <w:szCs w:val="32"/>
          <w:shd w:val="clear" w:color="auto" w:fill="auto"/>
        </w:rPr>
        <w:t>5</w:t>
      </w:r>
    </w:p>
    <w:p>
      <w:pPr>
        <w:spacing w:line="578" w:lineRule="exact"/>
        <w:jc w:val="both"/>
        <w:rPr>
          <w:rFonts w:hint="eastAsia" w:ascii="黑体" w:hAnsi="ˎ̥" w:eastAsia="黑体"/>
          <w:color w:val="auto"/>
          <w:sz w:val="32"/>
          <w:szCs w:val="32"/>
          <w:shd w:val="clear" w:color="auto" w:fill="auto"/>
        </w:rPr>
      </w:pPr>
      <w:bookmarkStart w:id="2" w:name="_Toc23465_WPSOffice_Level1"/>
      <w:bookmarkStart w:id="3" w:name="_Toc10049_WPSOffice_Level1"/>
      <w:bookmarkStart w:id="4" w:name="_Toc22941_WPSOffice_Level1"/>
      <w:bookmarkStart w:id="5" w:name="_Toc10720_WPSOffice_Level1"/>
      <w:bookmarkStart w:id="6" w:name="_Toc32433_WPSOffice_Level1"/>
      <w:bookmarkStart w:id="7" w:name="_Toc1704_WPSOffice_Level1"/>
      <w:bookmarkStart w:id="8" w:name="_Toc20274_WPSOffice_Level2"/>
      <w:bookmarkStart w:id="9" w:name="_Toc24238_WPSOffice_Level2"/>
      <w:bookmarkStart w:id="10" w:name="_Toc26580_WPSOffice_Level2"/>
      <w:bookmarkStart w:id="11" w:name="_Toc32622_WPSOffice_Level2"/>
      <w:bookmarkStart w:id="12" w:name="_Toc20205_WPSOffice_Level2"/>
      <w:bookmarkStart w:id="13" w:name="_Toc14159_WPSOffice_Level2"/>
    </w:p>
    <w:p>
      <w:pPr>
        <w:spacing w:line="578" w:lineRule="exact"/>
        <w:jc w:val="center"/>
        <w:rPr>
          <w:rFonts w:hint="eastAsia" w:ascii="黑体" w:hAnsi="ˎ̥" w:eastAsia="黑体"/>
          <w:color w:val="auto"/>
          <w:sz w:val="32"/>
          <w:szCs w:val="32"/>
          <w:shd w:val="clear" w:color="auto" w:fill="auto"/>
        </w:rPr>
      </w:pPr>
      <w:r>
        <w:rPr>
          <w:rFonts w:hint="eastAsia" w:ascii="黑体" w:hAnsi="ˎ̥" w:eastAsia="黑体"/>
          <w:color w:val="auto"/>
          <w:sz w:val="32"/>
          <w:szCs w:val="32"/>
          <w:shd w:val="clear" w:color="auto" w:fill="auto"/>
        </w:rPr>
        <w:t xml:space="preserve">第一部分  </w:t>
      </w:r>
      <w:bookmarkEnd w:id="2"/>
      <w:bookmarkEnd w:id="3"/>
      <w:bookmarkEnd w:id="4"/>
      <w:bookmarkEnd w:id="5"/>
      <w:bookmarkEnd w:id="6"/>
      <w:bookmarkEnd w:id="7"/>
      <w:r>
        <w:rPr>
          <w:rFonts w:hint="eastAsia" w:ascii="黑体" w:hAnsi="ˎ̥" w:eastAsia="黑体"/>
          <w:color w:val="auto"/>
          <w:sz w:val="32"/>
          <w:szCs w:val="32"/>
          <w:shd w:val="clear" w:color="auto" w:fill="auto"/>
        </w:rPr>
        <w:t>基本情况</w:t>
      </w:r>
    </w:p>
    <w:bookmarkEnd w:id="8"/>
    <w:bookmarkEnd w:id="9"/>
    <w:bookmarkEnd w:id="10"/>
    <w:bookmarkEnd w:id="11"/>
    <w:bookmarkEnd w:id="12"/>
    <w:bookmarkEnd w:id="13"/>
    <w:p>
      <w:pPr>
        <w:numPr>
          <w:ilvl w:val="0"/>
          <w:numId w:val="0"/>
        </w:numPr>
        <w:spacing w:line="578" w:lineRule="exact"/>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lang w:val="en-US" w:eastAsia="zh-CN"/>
        </w:rPr>
        <w:t>一、</w:t>
      </w:r>
      <w:r>
        <w:rPr>
          <w:rFonts w:hint="eastAsia" w:ascii="黑体" w:hAnsi="黑体" w:eastAsia="黑体" w:cs="黑体"/>
          <w:color w:val="auto"/>
          <w:sz w:val="32"/>
          <w:szCs w:val="32"/>
          <w:shd w:val="clear" w:color="auto" w:fill="auto"/>
        </w:rPr>
        <w:t>部门（单位）职责</w:t>
      </w:r>
    </w:p>
    <w:p>
      <w:pPr>
        <w:pStyle w:val="18"/>
        <w:numPr>
          <w:ilvl w:val="0"/>
          <w:numId w:val="0"/>
        </w:numPr>
        <w:ind w:leftChars="0"/>
        <w:rPr>
          <w:rFonts w:hint="eastAsia" w:ascii="仿宋" w:hAnsi="仿宋" w:eastAsia="仿宋" w:cs="仿宋"/>
          <w:sz w:val="32"/>
          <w:szCs w:val="32"/>
          <w:lang w:val="en-US" w:eastAsia="zh-CN"/>
        </w:rPr>
      </w:pPr>
      <w:bookmarkStart w:id="14" w:name="_Toc17796_WPSOffice_Level2"/>
      <w:bookmarkStart w:id="15" w:name="_Toc24474_WPSOffice_Level2"/>
      <w:bookmarkStart w:id="16" w:name="_Toc24059_WPSOffice_Level2"/>
      <w:bookmarkStart w:id="17" w:name="_Toc6572_WPSOffice_Level2"/>
      <w:bookmarkStart w:id="18" w:name="_Toc4833_WPSOffice_Level2"/>
      <w:r>
        <w:rPr>
          <w:rFonts w:hint="eastAsia" w:ascii="仿宋" w:hAnsi="仿宋" w:eastAsia="仿宋" w:cs="仿宋"/>
          <w:sz w:val="32"/>
          <w:szCs w:val="32"/>
          <w:lang w:val="en-US" w:eastAsia="zh-CN"/>
        </w:rPr>
        <w:t>园长办:幼儿安全、教育质量、师资团队及园所发展总负责。</w:t>
      </w:r>
    </w:p>
    <w:p>
      <w:pPr>
        <w:pStyle w:val="18"/>
        <w:numPr>
          <w:ilvl w:val="0"/>
          <w:numId w:val="0"/>
        </w:numPr>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党建：开展党员学习、师德师风教育活动。</w:t>
      </w:r>
    </w:p>
    <w:p>
      <w:pPr>
        <w:pStyle w:val="18"/>
        <w:numPr>
          <w:ilvl w:val="0"/>
          <w:numId w:val="0"/>
        </w:numPr>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工会：工会会员管理、重大节日慰问、工会活动开展落实。</w:t>
      </w:r>
    </w:p>
    <w:p>
      <w:pPr>
        <w:pStyle w:val="18"/>
        <w:numPr>
          <w:ilvl w:val="0"/>
          <w:numId w:val="0"/>
        </w:numPr>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电教：负责幼儿园学籍管理、教师台账、统计录入等工作。</w:t>
      </w:r>
    </w:p>
    <w:p>
      <w:pPr>
        <w:pStyle w:val="18"/>
        <w:numPr>
          <w:ilvl w:val="0"/>
          <w:numId w:val="0"/>
        </w:numPr>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财务：负责三包审核、出入库管理、幼儿园财务管理工作。</w:t>
      </w:r>
    </w:p>
    <w:p>
      <w:pPr>
        <w:pStyle w:val="18"/>
        <w:numPr>
          <w:ilvl w:val="0"/>
          <w:numId w:val="0"/>
        </w:numPr>
        <w:ind w:left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后勤：负责幼儿园食堂及后勤管理服务工作。</w:t>
      </w:r>
    </w:p>
    <w:p>
      <w:pPr>
        <w:spacing w:line="578" w:lineRule="exac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保教：负责幼儿园教学常规工作开展及落实、制定幼儿园教学大方向。</w:t>
      </w:r>
    </w:p>
    <w:p>
      <w:pPr>
        <w:spacing w:line="578" w:lineRule="exact"/>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二、机构设置</w:t>
      </w:r>
      <w:bookmarkEnd w:id="14"/>
      <w:bookmarkEnd w:id="15"/>
      <w:bookmarkEnd w:id="16"/>
      <w:bookmarkEnd w:id="17"/>
      <w:bookmarkEnd w:id="18"/>
    </w:p>
    <w:p>
      <w:pPr>
        <w:spacing w:line="578" w:lineRule="exact"/>
        <w:ind w:firstLine="640" w:firstLineChars="200"/>
        <w:rPr>
          <w:rFonts w:hint="eastAsia" w:ascii="仿宋_GB2312" w:hAnsi="ˎ̥" w:eastAsia="仿宋_GB2312"/>
          <w:color w:val="000000" w:themeColor="text1"/>
          <w:sz w:val="32"/>
          <w:szCs w:val="32"/>
          <w:lang w:val="en-US" w:eastAsia="zh-CN"/>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纳入</w:t>
      </w:r>
      <w:r>
        <w:rPr>
          <w:rFonts w:hint="eastAsia" w:ascii="仿宋_GB2312" w:hAnsi="ˎ̥" w:eastAsia="仿宋_GB2312"/>
          <w:color w:val="000000" w:themeColor="text1"/>
          <w:sz w:val="32"/>
          <w:szCs w:val="32"/>
          <w:lang w:val="en-US" w:eastAsia="zh-CN"/>
          <w14:textFill>
            <w14:solidFill>
              <w14:schemeClr w14:val="tx1"/>
            </w14:solidFill>
          </w14:textFill>
        </w:rPr>
        <w:t>色尼区教育局</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年度部门决算编制范围的单位共</w:t>
      </w:r>
      <w:r>
        <w:rPr>
          <w:rFonts w:hint="eastAsia" w:ascii="仿宋_GB2312" w:hAnsi="ˎ̥" w:eastAsia="仿宋_GB2312"/>
          <w:color w:val="000000" w:themeColor="text1"/>
          <w:sz w:val="32"/>
          <w:szCs w:val="32"/>
          <w:lang w:val="en-US" w:eastAsia="zh-CN"/>
          <w14:textFill>
            <w14:solidFill>
              <w14:schemeClr w14:val="tx1"/>
            </w14:solidFill>
          </w14:textFill>
        </w:rPr>
        <w:t>1</w:t>
      </w:r>
      <w:r>
        <w:rPr>
          <w:rFonts w:hint="eastAsia" w:ascii="仿宋_GB2312" w:hAnsi="ˎ̥" w:eastAsia="仿宋_GB2312"/>
          <w:color w:val="000000" w:themeColor="text1"/>
          <w:sz w:val="32"/>
          <w:szCs w:val="32"/>
          <w14:textFill>
            <w14:solidFill>
              <w14:schemeClr w14:val="tx1"/>
            </w14:solidFill>
          </w14:textFill>
        </w:rPr>
        <w:t>个</w:t>
      </w:r>
      <w:r>
        <w:rPr>
          <w:rFonts w:hint="eastAsia" w:ascii="仿宋_GB2312" w:hAnsi="ˎ̥" w:eastAsia="仿宋_GB2312"/>
          <w:color w:val="000000" w:themeColor="text1"/>
          <w:sz w:val="32"/>
          <w:szCs w:val="32"/>
          <w:lang w:eastAsia="zh-CN"/>
          <w14:textFill>
            <w14:solidFill>
              <w14:schemeClr w14:val="tx1"/>
            </w14:solidFill>
          </w14:textFill>
        </w:rPr>
        <w:t>。</w:t>
      </w:r>
    </w:p>
    <w:p>
      <w:pPr>
        <w:numPr>
          <w:ilvl w:val="0"/>
          <w:numId w:val="0"/>
        </w:numPr>
        <w:spacing w:line="578" w:lineRule="exact"/>
        <w:ind w:firstLine="640" w:firstLineChars="200"/>
        <w:rPr>
          <w:rFonts w:hint="eastAsia" w:ascii="方正楷体_GBK" w:hAnsi="方正楷体_GBK" w:eastAsia="方正楷体_GBK" w:cs="方正楷体_GBK"/>
          <w:color w:val="auto"/>
          <w:sz w:val="32"/>
          <w:szCs w:val="32"/>
          <w:shd w:val="clear" w:color="auto" w:fill="auto"/>
        </w:rPr>
      </w:pPr>
      <w:bookmarkStart w:id="19" w:name="_Toc25738_WPSOffice_Level2"/>
      <w:bookmarkStart w:id="20" w:name="_Toc24421_WPSOffice_Level2"/>
      <w:r>
        <w:rPr>
          <w:rFonts w:hint="eastAsia" w:ascii="仿宋_GB2312" w:hAnsi="ˎ̥" w:eastAsia="仿宋_GB2312"/>
          <w:color w:val="auto"/>
          <w:sz w:val="32"/>
          <w:szCs w:val="32"/>
          <w:shd w:val="clear" w:color="auto" w:fill="auto"/>
          <w:lang w:val="en-US" w:eastAsia="zh-CN"/>
        </w:rPr>
        <w:t>（一）色</w:t>
      </w:r>
      <w:r>
        <w:rPr>
          <w:rFonts w:hint="eastAsia" w:ascii="仿宋" w:hAnsi="仿宋" w:eastAsia="仿宋" w:cs="仿宋"/>
          <w:color w:val="auto"/>
          <w:sz w:val="32"/>
          <w:szCs w:val="32"/>
          <w:shd w:val="clear" w:color="auto" w:fill="auto"/>
          <w:lang w:val="en-US" w:eastAsia="zh-CN"/>
        </w:rPr>
        <w:t>尼区油恰乡幼儿园</w:t>
      </w:r>
      <w:r>
        <w:rPr>
          <w:rFonts w:hint="eastAsia" w:ascii="仿宋" w:hAnsi="仿宋" w:eastAsia="仿宋" w:cs="仿宋"/>
          <w:color w:val="auto"/>
          <w:sz w:val="32"/>
          <w:szCs w:val="32"/>
          <w:shd w:val="clear" w:color="auto" w:fill="auto"/>
        </w:rPr>
        <w:t>部门本级</w:t>
      </w:r>
    </w:p>
    <w:bookmarkEnd w:id="19"/>
    <w:bookmarkEnd w:id="20"/>
    <w:p>
      <w:pPr>
        <w:numPr>
          <w:ilvl w:val="0"/>
          <w:numId w:val="0"/>
        </w:numPr>
        <w:spacing w:line="578" w:lineRule="exact"/>
        <w:rPr>
          <w:rFonts w:hint="default" w:ascii="仿宋_GB2312" w:hAnsi="ˎ̥" w:eastAsia="仿宋_GB2312"/>
          <w:color w:val="000000" w:themeColor="text1"/>
          <w:sz w:val="32"/>
          <w:szCs w:val="32"/>
          <w:lang w:val="en-US" w:eastAsia="zh-CN"/>
          <w14:textFill>
            <w14:solidFill>
              <w14:schemeClr w14:val="tx1"/>
            </w14:solidFill>
          </w14:textFill>
        </w:rPr>
      </w:pPr>
      <w:r>
        <w:rPr>
          <w:rFonts w:hint="eastAsia" w:ascii="仿宋_GB2312" w:hAnsi="ˎ̥" w:eastAsia="仿宋_GB2312"/>
          <w:color w:val="000000" w:themeColor="text1"/>
          <w:sz w:val="32"/>
          <w:szCs w:val="32"/>
          <w:lang w:val="en-US" w:eastAsia="zh-CN"/>
          <w14:textFill>
            <w14:solidFill>
              <w14:schemeClr w14:val="tx1"/>
            </w14:solidFill>
          </w14:textFill>
        </w:rPr>
        <w:t xml:space="preserve">      统一社会信用代码：12542400MBO763251L,单位代码：014033,单位预算级次：2;单位类型：事业单位；预算级次：县区级。</w:t>
      </w:r>
    </w:p>
    <w:p>
      <w:pPr>
        <w:numPr>
          <w:ilvl w:val="0"/>
          <w:numId w:val="0"/>
        </w:numPr>
        <w:spacing w:line="578" w:lineRule="exact"/>
        <w:rPr>
          <w:rFonts w:hint="default" w:ascii="方正楷体_GBK" w:hAnsi="方正楷体_GBK" w:eastAsia="方正楷体_GBK" w:cs="方正楷体_GBK"/>
          <w:color w:val="auto"/>
          <w:sz w:val="32"/>
          <w:szCs w:val="32"/>
          <w:shd w:val="clear" w:color="auto" w:fill="auto"/>
          <w:lang w:val="en-US" w:eastAsia="zh-CN"/>
        </w:rPr>
      </w:pPr>
      <w:r>
        <w:rPr>
          <w:rFonts w:hint="eastAsia" w:ascii="仿宋" w:hAnsi="仿宋" w:eastAsia="仿宋" w:cs="仿宋"/>
          <w:color w:val="auto"/>
          <w:sz w:val="32"/>
          <w:szCs w:val="32"/>
          <w:shd w:val="clear" w:color="auto" w:fill="auto"/>
        </w:rPr>
        <w:t xml:space="preserve">  </w:t>
      </w:r>
      <w:r>
        <w:rPr>
          <w:rFonts w:hint="eastAsia" w:ascii="方正楷体_GBK" w:hAnsi="方正楷体_GBK" w:eastAsia="方正楷体_GBK" w:cs="方正楷体_GBK"/>
          <w:color w:val="auto"/>
          <w:sz w:val="32"/>
          <w:szCs w:val="32"/>
          <w:shd w:val="clear" w:color="auto" w:fill="auto"/>
        </w:rPr>
        <w:t xml:space="preserve">         </w:t>
      </w:r>
    </w:p>
    <w:p>
      <w:pPr>
        <w:spacing w:line="578" w:lineRule="exact"/>
        <w:ind w:firstLine="1600" w:firstLineChars="500"/>
        <w:jc w:val="both"/>
        <w:rPr>
          <w:rFonts w:hint="eastAsia" w:ascii="黑体" w:hAnsi="ˎ̥" w:eastAsia="黑体"/>
          <w:color w:val="auto"/>
          <w:sz w:val="32"/>
          <w:szCs w:val="32"/>
          <w:shd w:val="clear" w:color="auto" w:fill="auto"/>
        </w:rPr>
      </w:pPr>
      <w:bookmarkStart w:id="21" w:name="_Toc30690_WPSOffice_Level1"/>
      <w:bookmarkStart w:id="22" w:name="_Toc15521_WPSOffice_Level1"/>
      <w:bookmarkStart w:id="23" w:name="_Toc30451_WPSOffice_Level1"/>
      <w:bookmarkStart w:id="24" w:name="_Toc28253_WPSOffice_Level1"/>
      <w:bookmarkStart w:id="25" w:name="_Toc6234_WPSOffice_Level1"/>
      <w:bookmarkStart w:id="26" w:name="_Toc8164_WPSOffice_Level1"/>
      <w:bookmarkStart w:id="27" w:name="_Toc11518_WPSOffice_Level2"/>
      <w:bookmarkStart w:id="28" w:name="_Toc32695_WPSOffice_Level2"/>
      <w:bookmarkStart w:id="29" w:name="_Toc8867_WPSOffice_Level2"/>
      <w:bookmarkStart w:id="30" w:name="_Toc4029_WPSOffice_Level2"/>
      <w:bookmarkStart w:id="31" w:name="_Toc32472_WPSOffice_Level2"/>
      <w:bookmarkStart w:id="32" w:name="_Toc6211_WPSOffice_Level2"/>
      <w:r>
        <w:rPr>
          <w:rFonts w:hint="eastAsia" w:ascii="黑体" w:hAnsi="ˎ̥" w:eastAsia="黑体"/>
          <w:color w:val="auto"/>
          <w:sz w:val="32"/>
          <w:szCs w:val="32"/>
          <w:shd w:val="clear" w:color="auto" w:fill="auto"/>
        </w:rPr>
        <w:t xml:space="preserve">第二部分  </w:t>
      </w:r>
      <w:r>
        <w:rPr>
          <w:rFonts w:hint="default" w:ascii="黑体" w:hAnsi="ˎ̥" w:eastAsia="黑体"/>
          <w:color w:val="auto"/>
          <w:sz w:val="32"/>
          <w:szCs w:val="32"/>
          <w:shd w:val="clear" w:color="auto" w:fill="auto"/>
          <w:lang w:val="en-US"/>
        </w:rPr>
        <w:t>2024</w:t>
      </w:r>
      <w:r>
        <w:rPr>
          <w:rFonts w:hint="eastAsia" w:ascii="黑体" w:hAnsi="ˎ̥" w:eastAsia="黑体"/>
          <w:color w:val="auto"/>
          <w:sz w:val="32"/>
          <w:szCs w:val="32"/>
          <w:shd w:val="clear" w:color="auto" w:fill="auto"/>
        </w:rPr>
        <w:t>年度部门决算公开报表</w:t>
      </w:r>
      <w:bookmarkEnd w:id="21"/>
      <w:bookmarkEnd w:id="22"/>
      <w:bookmarkEnd w:id="23"/>
      <w:bookmarkEnd w:id="24"/>
      <w:bookmarkEnd w:id="25"/>
      <w:bookmarkEnd w:id="26"/>
    </w:p>
    <w:p>
      <w:pPr>
        <w:spacing w:line="578" w:lineRule="exact"/>
        <w:ind w:firstLine="645"/>
        <w:rPr>
          <w:rFonts w:hint="eastAsia" w:ascii="黑体" w:hAnsi="黑体" w:eastAsia="黑体" w:cs="黑体"/>
          <w:color w:val="auto"/>
          <w:sz w:val="32"/>
          <w:szCs w:val="32"/>
          <w:shd w:val="clear" w:color="auto" w:fill="auto"/>
        </w:rPr>
      </w:pPr>
    </w:p>
    <w:p>
      <w:pPr>
        <w:spacing w:line="578" w:lineRule="exact"/>
        <w:ind w:firstLine="645"/>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一、收入支出决算公开表</w:t>
      </w:r>
      <w:bookmarkEnd w:id="27"/>
      <w:bookmarkEnd w:id="28"/>
      <w:bookmarkEnd w:id="29"/>
      <w:bookmarkEnd w:id="30"/>
      <w:bookmarkEnd w:id="31"/>
      <w:bookmarkEnd w:id="32"/>
    </w:p>
    <w:p>
      <w:pPr>
        <w:spacing w:line="578" w:lineRule="exact"/>
        <w:ind w:firstLine="645"/>
        <w:rPr>
          <w:rFonts w:hint="eastAsia" w:ascii="黑体" w:hAnsi="黑体" w:eastAsia="黑体" w:cs="黑体"/>
          <w:color w:val="auto"/>
          <w:sz w:val="32"/>
          <w:szCs w:val="32"/>
          <w:shd w:val="clear" w:color="auto" w:fill="auto"/>
        </w:rPr>
      </w:pPr>
      <w:bookmarkStart w:id="33" w:name="_Toc28622_WPSOffice_Level2"/>
      <w:bookmarkStart w:id="34" w:name="_Toc23139_WPSOffice_Level2"/>
      <w:bookmarkStart w:id="35" w:name="_Toc30334_WPSOffice_Level2"/>
      <w:bookmarkStart w:id="36" w:name="_Toc25608_WPSOffice_Level2"/>
      <w:bookmarkStart w:id="37" w:name="_Toc26621_WPSOffice_Level2"/>
      <w:bookmarkStart w:id="38" w:name="_Toc14349_WPSOffice_Level2"/>
      <w:r>
        <w:rPr>
          <w:rFonts w:hint="eastAsia" w:ascii="黑体" w:hAnsi="黑体" w:eastAsia="黑体" w:cs="黑体"/>
          <w:color w:val="auto"/>
          <w:sz w:val="32"/>
          <w:szCs w:val="32"/>
          <w:shd w:val="clear" w:color="auto" w:fill="auto"/>
        </w:rPr>
        <w:t>二、收入决算公开表</w:t>
      </w:r>
      <w:bookmarkEnd w:id="33"/>
      <w:bookmarkEnd w:id="34"/>
      <w:bookmarkEnd w:id="35"/>
      <w:bookmarkEnd w:id="36"/>
      <w:bookmarkEnd w:id="37"/>
      <w:bookmarkEnd w:id="38"/>
      <w:bookmarkStart w:id="39" w:name="_Toc14658_WPSOffice_Level2"/>
      <w:bookmarkStart w:id="40" w:name="_Toc17626_WPSOffice_Level2"/>
      <w:bookmarkStart w:id="41" w:name="_Toc13854_WPSOffice_Level2"/>
      <w:bookmarkStart w:id="42" w:name="_Toc17858_WPSOffice_Level2"/>
      <w:bookmarkStart w:id="43" w:name="_Toc3262_WPSOffice_Level2"/>
      <w:bookmarkStart w:id="44" w:name="_Toc5489_WPSOffice_Level2"/>
    </w:p>
    <w:p>
      <w:pPr>
        <w:spacing w:line="578" w:lineRule="exact"/>
        <w:ind w:firstLine="645"/>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三、支出决算公开表</w:t>
      </w:r>
      <w:bookmarkEnd w:id="39"/>
      <w:bookmarkEnd w:id="40"/>
      <w:bookmarkEnd w:id="41"/>
      <w:bookmarkEnd w:id="42"/>
      <w:bookmarkEnd w:id="43"/>
      <w:bookmarkEnd w:id="44"/>
      <w:bookmarkStart w:id="45" w:name="_Toc23493_WPSOffice_Level2"/>
      <w:bookmarkStart w:id="46" w:name="_Toc23591_WPSOffice_Level2"/>
      <w:bookmarkStart w:id="47" w:name="_Toc7988_WPSOffice_Level2"/>
      <w:bookmarkStart w:id="48" w:name="_Toc21415_WPSOffice_Level2"/>
      <w:bookmarkStart w:id="49" w:name="_Toc4265_WPSOffice_Level2"/>
      <w:bookmarkStart w:id="50" w:name="_Toc13701_WPSOffice_Level2"/>
    </w:p>
    <w:p>
      <w:pPr>
        <w:spacing w:line="578" w:lineRule="exact"/>
        <w:ind w:firstLine="645"/>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四、财政拨款收入支出决算公开表</w:t>
      </w:r>
      <w:bookmarkEnd w:id="45"/>
      <w:bookmarkEnd w:id="46"/>
      <w:bookmarkEnd w:id="47"/>
      <w:bookmarkEnd w:id="48"/>
      <w:bookmarkEnd w:id="49"/>
      <w:bookmarkEnd w:id="50"/>
    </w:p>
    <w:p>
      <w:pPr>
        <w:spacing w:line="578" w:lineRule="exact"/>
        <w:ind w:firstLine="645"/>
        <w:rPr>
          <w:rFonts w:hint="eastAsia" w:ascii="黑体" w:hAnsi="黑体" w:eastAsia="黑体" w:cs="黑体"/>
          <w:color w:val="auto"/>
          <w:sz w:val="32"/>
          <w:szCs w:val="32"/>
          <w:shd w:val="clear" w:color="auto" w:fill="auto"/>
        </w:rPr>
      </w:pPr>
      <w:bookmarkStart w:id="51" w:name="_Toc25166_WPSOffice_Level2"/>
      <w:bookmarkStart w:id="52" w:name="_Toc23829_WPSOffice_Level2"/>
      <w:bookmarkStart w:id="53" w:name="_Toc7879_WPSOffice_Level2"/>
      <w:bookmarkStart w:id="54" w:name="_Toc22783_WPSOffice_Level2"/>
      <w:bookmarkStart w:id="55" w:name="_Toc13516_WPSOffice_Level2"/>
      <w:bookmarkStart w:id="56" w:name="_Toc2158_WPSOffice_Level2"/>
      <w:r>
        <w:rPr>
          <w:rFonts w:hint="eastAsia" w:ascii="黑体" w:hAnsi="黑体" w:eastAsia="黑体" w:cs="黑体"/>
          <w:color w:val="auto"/>
          <w:sz w:val="32"/>
          <w:szCs w:val="32"/>
          <w:shd w:val="clear" w:color="auto" w:fill="auto"/>
        </w:rPr>
        <w:t>五、一般公共预算财政拨款收入支出决算</w:t>
      </w:r>
      <w:bookmarkEnd w:id="51"/>
      <w:bookmarkEnd w:id="52"/>
      <w:bookmarkEnd w:id="53"/>
      <w:bookmarkEnd w:id="54"/>
      <w:r>
        <w:rPr>
          <w:rFonts w:hint="eastAsia" w:ascii="黑体" w:hAnsi="黑体" w:eastAsia="黑体" w:cs="黑体"/>
          <w:color w:val="auto"/>
          <w:sz w:val="32"/>
          <w:szCs w:val="32"/>
          <w:shd w:val="clear" w:color="auto" w:fill="auto"/>
        </w:rPr>
        <w:t>公开表</w:t>
      </w:r>
      <w:bookmarkEnd w:id="55"/>
      <w:bookmarkEnd w:id="56"/>
      <w:bookmarkStart w:id="57" w:name="_Toc17833_WPSOffice_Level2"/>
      <w:bookmarkStart w:id="58" w:name="_Toc8373_WPSOffice_Level2"/>
      <w:bookmarkStart w:id="59" w:name="_Toc2632_WPSOffice_Level2"/>
      <w:bookmarkStart w:id="60" w:name="_Toc25362_WPSOffice_Level2"/>
      <w:bookmarkStart w:id="61" w:name="_Toc5343_WPSOffice_Level2"/>
      <w:bookmarkStart w:id="62" w:name="_Toc17283_WPSOffice_Level2"/>
    </w:p>
    <w:p>
      <w:pPr>
        <w:spacing w:line="578" w:lineRule="exact"/>
        <w:ind w:firstLine="645"/>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六、一般公共预算财政拨款基本支出决算</w:t>
      </w:r>
      <w:bookmarkEnd w:id="57"/>
      <w:bookmarkEnd w:id="58"/>
      <w:bookmarkEnd w:id="59"/>
      <w:bookmarkEnd w:id="60"/>
      <w:bookmarkEnd w:id="61"/>
      <w:bookmarkEnd w:id="62"/>
      <w:r>
        <w:rPr>
          <w:rFonts w:hint="eastAsia" w:ascii="黑体" w:hAnsi="黑体" w:eastAsia="黑体" w:cs="黑体"/>
          <w:color w:val="auto"/>
          <w:sz w:val="32"/>
          <w:szCs w:val="32"/>
          <w:shd w:val="clear" w:color="auto" w:fill="auto"/>
        </w:rPr>
        <w:t>公开表</w:t>
      </w:r>
    </w:p>
    <w:p>
      <w:pPr>
        <w:spacing w:line="578" w:lineRule="exact"/>
        <w:ind w:left="1118" w:leftChars="304" w:hanging="480" w:hangingChars="150"/>
        <w:rPr>
          <w:rFonts w:hint="eastAsia" w:ascii="黑体" w:hAnsi="黑体" w:eastAsia="黑体" w:cs="黑体"/>
          <w:color w:val="auto"/>
          <w:sz w:val="32"/>
          <w:szCs w:val="32"/>
          <w:shd w:val="clear" w:color="auto" w:fill="auto"/>
        </w:rPr>
      </w:pPr>
      <w:bookmarkStart w:id="63" w:name="_Toc13345_WPSOffice_Level2"/>
      <w:bookmarkStart w:id="64" w:name="_Toc21310_WPSOffice_Level2"/>
      <w:bookmarkStart w:id="65" w:name="_Toc6020_WPSOffice_Level2"/>
      <w:bookmarkStart w:id="66" w:name="_Toc5594_WPSOffice_Level2"/>
      <w:bookmarkStart w:id="67" w:name="_Toc11799_WPSOffice_Level2"/>
      <w:bookmarkStart w:id="68" w:name="_Toc1533_WPSOffice_Level2"/>
      <w:r>
        <w:rPr>
          <w:rFonts w:hint="eastAsia" w:ascii="黑体" w:hAnsi="黑体" w:eastAsia="黑体" w:cs="黑体"/>
          <w:color w:val="auto"/>
          <w:sz w:val="32"/>
          <w:szCs w:val="32"/>
          <w:shd w:val="clear" w:color="auto" w:fill="auto"/>
        </w:rPr>
        <w:t>七、政府性基金预算财政拨款收入支出决算</w:t>
      </w:r>
      <w:bookmarkEnd w:id="63"/>
      <w:bookmarkEnd w:id="64"/>
      <w:bookmarkEnd w:id="65"/>
      <w:bookmarkEnd w:id="66"/>
      <w:bookmarkEnd w:id="67"/>
      <w:bookmarkEnd w:id="68"/>
      <w:r>
        <w:rPr>
          <w:rFonts w:hint="eastAsia" w:ascii="黑体" w:hAnsi="黑体" w:eastAsia="黑体" w:cs="黑体"/>
          <w:color w:val="auto"/>
          <w:sz w:val="32"/>
          <w:szCs w:val="32"/>
          <w:shd w:val="clear" w:color="auto" w:fill="auto"/>
        </w:rPr>
        <w:t>公开表</w:t>
      </w:r>
    </w:p>
    <w:p>
      <w:pPr>
        <w:spacing w:line="578" w:lineRule="exact"/>
        <w:ind w:left="1118" w:leftChars="304" w:hanging="480" w:hangingChars="150"/>
        <w:rPr>
          <w:rFonts w:hint="eastAsia" w:ascii="黑体" w:hAnsi="黑体" w:eastAsia="黑体" w:cs="黑体"/>
          <w:color w:val="auto"/>
          <w:sz w:val="32"/>
          <w:szCs w:val="32"/>
          <w:shd w:val="clear" w:color="auto" w:fill="auto"/>
        </w:rPr>
      </w:pPr>
      <w:r>
        <w:rPr>
          <w:rFonts w:hint="eastAsia" w:ascii="黑体" w:hAnsi="黑体" w:eastAsia="黑体" w:cs="黑体"/>
          <w:color w:val="auto"/>
          <w:sz w:val="32"/>
          <w:szCs w:val="32"/>
          <w:shd w:val="clear" w:color="auto" w:fill="auto"/>
        </w:rPr>
        <w:t>八、国有资本经营预算财政拨款收入支出决算公开表</w:t>
      </w:r>
    </w:p>
    <w:p>
      <w:pPr>
        <w:spacing w:line="578" w:lineRule="exact"/>
        <w:ind w:firstLine="640"/>
        <w:rPr>
          <w:rFonts w:hint="eastAsia" w:ascii="黑体" w:hAnsi="黑体" w:eastAsia="黑体" w:cs="黑体"/>
          <w:color w:val="auto"/>
          <w:sz w:val="32"/>
          <w:szCs w:val="32"/>
          <w:shd w:val="clear" w:color="auto" w:fill="auto"/>
        </w:rPr>
      </w:pPr>
      <w:bookmarkStart w:id="69" w:name="_Toc1820_WPSOffice_Level2"/>
      <w:bookmarkStart w:id="70" w:name="_Toc29886_WPSOffice_Level2"/>
      <w:bookmarkStart w:id="71" w:name="_Toc19961_WPSOffice_Level2"/>
      <w:bookmarkStart w:id="72" w:name="_Toc9377_WPSOffice_Level2"/>
      <w:r>
        <w:rPr>
          <w:rFonts w:hint="eastAsia" w:ascii="黑体" w:hAnsi="黑体" w:eastAsia="黑体" w:cs="黑体"/>
          <w:color w:val="auto"/>
          <w:sz w:val="32"/>
          <w:szCs w:val="32"/>
          <w:shd w:val="clear" w:color="auto" w:fill="auto"/>
        </w:rPr>
        <w:t>九、财政拨款“三公”经费支出决算</w:t>
      </w:r>
      <w:bookmarkEnd w:id="69"/>
      <w:bookmarkEnd w:id="70"/>
      <w:bookmarkEnd w:id="71"/>
      <w:bookmarkEnd w:id="72"/>
      <w:r>
        <w:rPr>
          <w:rFonts w:hint="eastAsia" w:ascii="黑体" w:hAnsi="黑体" w:eastAsia="黑体" w:cs="黑体"/>
          <w:color w:val="auto"/>
          <w:sz w:val="32"/>
          <w:szCs w:val="32"/>
          <w:shd w:val="clear" w:color="auto" w:fill="auto"/>
        </w:rPr>
        <w:t>公开表</w:t>
      </w:r>
    </w:p>
    <w:p>
      <w:pPr>
        <w:spacing w:line="578" w:lineRule="exact"/>
        <w:ind w:firstLine="640"/>
        <w:rPr>
          <w:rFonts w:hint="eastAsia" w:ascii="仿宋" w:hAnsi="仿宋" w:eastAsia="仿宋" w:cs="仿宋"/>
          <w:color w:val="auto"/>
          <w:w w:val="100"/>
          <w:sz w:val="32"/>
          <w:szCs w:val="32"/>
          <w:shd w:val="clear" w:color="auto" w:fill="auto"/>
        </w:rPr>
      </w:pPr>
      <w:r>
        <w:rPr>
          <w:rFonts w:hint="eastAsia" w:ascii="仿宋" w:hAnsi="仿宋" w:eastAsia="仿宋" w:cs="仿宋"/>
          <w:color w:val="auto"/>
          <w:w w:val="100"/>
          <w:sz w:val="32"/>
          <w:szCs w:val="32"/>
          <w:shd w:val="clear" w:color="auto" w:fill="auto"/>
        </w:rPr>
        <w:t xml:space="preserve">以上报表见附件1。   </w:t>
      </w:r>
    </w:p>
    <w:p>
      <w:pPr>
        <w:spacing w:line="578" w:lineRule="exact"/>
        <w:rPr>
          <w:rFonts w:hint="eastAsia" w:ascii="黑体" w:hAnsi="黑体" w:eastAsia="黑体" w:cs="黑体"/>
          <w:color w:val="auto"/>
          <w:sz w:val="32"/>
          <w:szCs w:val="32"/>
          <w:shd w:val="clear" w:color="auto" w:fill="auto"/>
        </w:rPr>
      </w:pPr>
    </w:p>
    <w:p>
      <w:pPr>
        <w:spacing w:line="578" w:lineRule="exact"/>
        <w:jc w:val="center"/>
        <w:rPr>
          <w:rFonts w:hint="eastAsia" w:ascii="黑体" w:hAnsi="ˎ̥" w:eastAsia="黑体"/>
          <w:color w:val="auto"/>
          <w:sz w:val="32"/>
          <w:szCs w:val="32"/>
          <w:shd w:val="clear" w:color="auto" w:fill="auto"/>
        </w:rPr>
      </w:pPr>
      <w:bookmarkStart w:id="73" w:name="_Toc4402_WPSOffice_Level1"/>
      <w:bookmarkStart w:id="74" w:name="_Toc28629_WPSOffice_Level1"/>
      <w:bookmarkStart w:id="75" w:name="_Toc16686_WPSOffice_Level1"/>
      <w:bookmarkStart w:id="76" w:name="_Toc29683_WPSOffice_Level1"/>
      <w:bookmarkStart w:id="77" w:name="_Toc27590_WPSOffice_Level1"/>
      <w:bookmarkStart w:id="78" w:name="_Toc31264_WPSOffice_Level1"/>
      <w:r>
        <w:rPr>
          <w:rFonts w:hint="eastAsia" w:ascii="黑体" w:hAnsi="ˎ̥" w:eastAsia="黑体"/>
          <w:color w:val="auto"/>
          <w:sz w:val="32"/>
          <w:szCs w:val="32"/>
          <w:shd w:val="clear" w:color="auto" w:fill="auto"/>
        </w:rPr>
        <w:t xml:space="preserve">第三部分  </w:t>
      </w:r>
      <w:r>
        <w:rPr>
          <w:rFonts w:hint="default" w:ascii="黑体" w:hAnsi="ˎ̥" w:eastAsia="黑体"/>
          <w:color w:val="auto"/>
          <w:sz w:val="32"/>
          <w:szCs w:val="32"/>
          <w:shd w:val="clear" w:color="auto" w:fill="auto"/>
          <w:lang w:val="en-US"/>
        </w:rPr>
        <w:t>2024</w:t>
      </w:r>
      <w:r>
        <w:rPr>
          <w:rFonts w:hint="eastAsia" w:ascii="黑体" w:hAnsi="ˎ̥" w:eastAsia="黑体"/>
          <w:color w:val="auto"/>
          <w:sz w:val="32"/>
          <w:szCs w:val="32"/>
          <w:shd w:val="clear" w:color="auto" w:fill="auto"/>
        </w:rPr>
        <w:t>年度部门决算情况说明</w:t>
      </w:r>
      <w:bookmarkEnd w:id="73"/>
      <w:bookmarkEnd w:id="74"/>
      <w:bookmarkEnd w:id="75"/>
      <w:bookmarkEnd w:id="76"/>
      <w:bookmarkEnd w:id="77"/>
      <w:bookmarkEnd w:id="78"/>
    </w:p>
    <w:p>
      <w:pPr>
        <w:spacing w:line="578" w:lineRule="exact"/>
        <w:jc w:val="center"/>
        <w:rPr>
          <w:rFonts w:hint="eastAsia" w:ascii="黑体" w:hAnsi="ˎ̥" w:eastAsia="黑体"/>
          <w:color w:val="auto"/>
          <w:sz w:val="32"/>
          <w:szCs w:val="32"/>
          <w:shd w:val="clear" w:color="auto" w:fill="auto"/>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黑体" w:hAnsi="黑体" w:eastAsia="黑体" w:cs="黑体"/>
          <w:bCs/>
          <w:color w:val="auto"/>
          <w:sz w:val="32"/>
          <w:szCs w:val="32"/>
          <w:shd w:val="clear" w:color="auto" w:fill="auto"/>
        </w:rPr>
        <w:t>一、收入支出总体情况说明</w:t>
      </w:r>
      <w:r>
        <w:rPr>
          <w:rFonts w:hint="eastAsia" w:ascii="黑体" w:hAnsi="黑体" w:eastAsia="黑体" w:cs="黑体"/>
          <w:bCs/>
          <w:color w:val="auto"/>
          <w:sz w:val="32"/>
          <w:szCs w:val="32"/>
          <w:shd w:val="clear" w:color="auto" w:fill="auto"/>
        </w:rPr>
        <w:br w:type="textWrapping"/>
      </w:r>
      <w:r>
        <w:rPr>
          <w:rFonts w:hint="eastAsia" w:ascii="楷体_GB2312" w:hAnsi="ˎ̥" w:eastAsia="楷体_GB2312"/>
          <w:color w:val="auto"/>
          <w:sz w:val="32"/>
          <w:szCs w:val="32"/>
          <w:shd w:val="clear" w:color="auto" w:fill="auto"/>
        </w:rPr>
        <w:t xml:space="preserve">    </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年度收入总计</w:t>
      </w:r>
      <w:r>
        <w:rPr>
          <w:rFonts w:hint="default" w:ascii="仿宋_GB2312" w:hAnsi="ˎ̥" w:eastAsia="仿宋_GB2312"/>
          <w:color w:val="000000" w:themeColor="text1"/>
          <w:sz w:val="32"/>
          <w:szCs w:val="32"/>
          <w:lang w:val="en-US"/>
          <w14:textFill>
            <w14:solidFill>
              <w14:schemeClr w14:val="tx1"/>
            </w14:solidFill>
          </w14:textFill>
        </w:rPr>
        <w:t>572.40</w:t>
      </w:r>
      <w:r>
        <w:rPr>
          <w:rFonts w:hint="eastAsia" w:ascii="仿宋_GB2312" w:hAnsi="ˎ̥" w:eastAsia="仿宋_GB2312"/>
          <w:color w:val="auto"/>
          <w:sz w:val="32"/>
          <w:szCs w:val="32"/>
          <w:shd w:val="clear" w:color="auto" w:fill="auto"/>
        </w:rPr>
        <w:t>万元，支出总计</w:t>
      </w:r>
      <w:r>
        <w:rPr>
          <w:rFonts w:hint="default" w:ascii="仿宋_GB2312" w:hAnsi="ˎ̥" w:eastAsia="仿宋_GB2312"/>
          <w:color w:val="000000" w:themeColor="text1"/>
          <w:sz w:val="32"/>
          <w:szCs w:val="32"/>
          <w:lang w:val="en-US"/>
          <w14:textFill>
            <w14:solidFill>
              <w14:schemeClr w14:val="tx1"/>
            </w14:solidFill>
          </w14:textFill>
        </w:rPr>
        <w:t>572.40</w:t>
      </w:r>
      <w:r>
        <w:rPr>
          <w:rFonts w:hint="eastAsia" w:ascii="仿宋_GB2312" w:hAnsi="ˎ̥" w:eastAsia="仿宋_GB2312"/>
          <w:color w:val="auto"/>
          <w:sz w:val="32"/>
          <w:szCs w:val="32"/>
          <w:shd w:val="clear" w:color="auto" w:fill="auto"/>
        </w:rPr>
        <w:t>万元，与202</w:t>
      </w:r>
      <w:r>
        <w:rPr>
          <w:rFonts w:hint="eastAsia" w:ascii="仿宋_GB2312" w:hAnsi="ˎ̥" w:eastAsia="仿宋_GB2312"/>
          <w:color w:val="auto"/>
          <w:sz w:val="32"/>
          <w:szCs w:val="32"/>
          <w:shd w:val="clear" w:color="auto" w:fill="auto"/>
          <w:lang w:val="en-US" w:eastAsia="zh-CN"/>
        </w:rPr>
        <w:t>3</w:t>
      </w:r>
      <w:r>
        <w:rPr>
          <w:rFonts w:hint="eastAsia" w:ascii="仿宋_GB2312" w:hAnsi="ˎ̥" w:eastAsia="仿宋_GB2312"/>
          <w:color w:val="auto"/>
          <w:sz w:val="32"/>
          <w:szCs w:val="32"/>
          <w:shd w:val="clear" w:color="auto" w:fill="auto"/>
        </w:rPr>
        <w:t>年度相比，收入、支出总计各增加</w:t>
      </w:r>
      <w:r>
        <w:rPr>
          <w:rFonts w:hint="default" w:ascii="仿宋_GB2312" w:hAnsi="ˎ̥" w:eastAsia="仿宋_GB2312"/>
          <w:color w:val="000000" w:themeColor="text1"/>
          <w:sz w:val="32"/>
          <w:szCs w:val="32"/>
          <w:lang w:val="en-US"/>
          <w14:textFill>
            <w14:solidFill>
              <w14:schemeClr w14:val="tx1"/>
            </w14:solidFill>
          </w14:textFill>
        </w:rPr>
        <w:t>572.40</w:t>
      </w:r>
      <w:r>
        <w:rPr>
          <w:rFonts w:hint="eastAsia" w:ascii="仿宋_GB2312" w:hAnsi="ˎ̥" w:eastAsia="仿宋_GB2312"/>
          <w:color w:val="auto"/>
          <w:sz w:val="32"/>
          <w:szCs w:val="32"/>
          <w:shd w:val="clear" w:color="auto" w:fill="auto"/>
        </w:rPr>
        <w:t>万元，增长</w:t>
      </w:r>
      <w:r>
        <w:rPr>
          <w:rFonts w:hint="eastAsia" w:ascii="仿宋_GB2312" w:hAnsi="ˎ̥" w:eastAsia="仿宋_GB2312"/>
          <w:color w:val="auto"/>
          <w:sz w:val="32"/>
          <w:szCs w:val="32"/>
          <w:shd w:val="clear" w:color="auto" w:fill="auto"/>
          <w:lang w:val="en-US" w:eastAsia="zh-CN"/>
        </w:rPr>
        <w:t>100</w:t>
      </w:r>
      <w:r>
        <w:rPr>
          <w:rFonts w:hint="eastAsia" w:ascii="仿宋_GB2312" w:hAnsi="ˎ̥" w:eastAsia="仿宋_GB2312"/>
          <w:color w:val="auto"/>
          <w:sz w:val="32"/>
          <w:szCs w:val="32"/>
          <w:shd w:val="clear" w:color="auto" w:fill="auto"/>
        </w:rPr>
        <w:t>%。主要原因：一</w:t>
      </w:r>
      <w:r>
        <w:rPr>
          <w:rFonts w:hint="eastAsia" w:ascii="仿宋_GB2312" w:hAnsi="ˎ̥" w:eastAsia="仿宋_GB2312"/>
          <w:color w:val="auto"/>
          <w:sz w:val="32"/>
          <w:szCs w:val="32"/>
          <w:shd w:val="clear" w:color="auto" w:fill="auto"/>
          <w:lang w:val="en-US" w:eastAsia="zh-CN"/>
        </w:rPr>
        <w:t>是本单位为2024年新增单位。</w:t>
      </w:r>
    </w:p>
    <w:p>
      <w:pPr>
        <w:keepNext w:val="0"/>
        <w:keepLines w:val="0"/>
        <w:pageBreakBefore w:val="0"/>
        <w:widowControl w:val="0"/>
        <w:kinsoku/>
        <w:wordWrap/>
        <w:overflowPunct/>
        <w:topLinePunct w:val="0"/>
        <w:autoSpaceDE/>
        <w:autoSpaceDN/>
        <w:bidi w:val="0"/>
        <w:adjustRightInd/>
        <w:snapToGrid/>
        <w:spacing w:line="578" w:lineRule="exact"/>
        <w:ind w:firstLine="320" w:firstLineChars="100"/>
        <w:textAlignment w:val="auto"/>
        <w:rPr>
          <w:rFonts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（一</w:t>
      </w:r>
      <w:r>
        <w:rPr>
          <w:rFonts w:ascii="楷体" w:hAnsi="楷体" w:eastAsia="楷体" w:cs="楷体"/>
          <w:color w:val="auto"/>
          <w:sz w:val="32"/>
          <w:szCs w:val="32"/>
          <w:shd w:val="clear" w:color="auto" w:fill="auto"/>
        </w:rPr>
        <w:t>）</w:t>
      </w:r>
      <w:r>
        <w:rPr>
          <w:rFonts w:hint="eastAsia" w:ascii="楷体" w:hAnsi="楷体" w:eastAsia="楷体" w:cs="楷体"/>
          <w:color w:val="auto"/>
          <w:sz w:val="32"/>
          <w:szCs w:val="32"/>
          <w:shd w:val="clear" w:color="auto" w:fill="auto"/>
        </w:rPr>
        <w:t>收入</w:t>
      </w:r>
      <w:r>
        <w:rPr>
          <w:rFonts w:ascii="楷体" w:hAnsi="楷体" w:eastAsia="楷体" w:cs="楷体"/>
          <w:color w:val="auto"/>
          <w:sz w:val="32"/>
          <w:szCs w:val="32"/>
          <w:shd w:val="clear" w:color="auto" w:fill="auto"/>
        </w:rPr>
        <w:t>总计</w:t>
      </w:r>
      <w:r>
        <w:rPr>
          <w:rFonts w:hint="eastAsia" w:ascii="楷体" w:hAnsi="楷体" w:eastAsia="楷体" w:cs="楷体"/>
          <w:color w:val="auto"/>
          <w:sz w:val="32"/>
          <w:szCs w:val="32"/>
          <w:shd w:val="clear" w:color="auto" w:fill="auto"/>
        </w:rPr>
        <w:t>主要</w:t>
      </w:r>
      <w:r>
        <w:rPr>
          <w:rFonts w:ascii="楷体" w:hAnsi="楷体" w:eastAsia="楷体" w:cs="楷体"/>
          <w:color w:val="auto"/>
          <w:sz w:val="32"/>
          <w:szCs w:val="32"/>
          <w:shd w:val="clear" w:color="auto" w:fill="auto"/>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本年</w:t>
      </w:r>
      <w:r>
        <w:rPr>
          <w:rFonts w:ascii="仿宋_GB2312" w:hAnsi="ˎ̥" w:eastAsia="仿宋_GB2312"/>
          <w:color w:val="auto"/>
          <w:sz w:val="32"/>
          <w:szCs w:val="32"/>
          <w:shd w:val="clear" w:color="auto" w:fill="auto"/>
        </w:rPr>
        <w:t>收入</w:t>
      </w:r>
      <w:r>
        <w:rPr>
          <w:rFonts w:hint="default" w:ascii="仿宋_GB2312" w:hAnsi="ˎ̥" w:eastAsia="仿宋_GB2312"/>
          <w:color w:val="000000" w:themeColor="text1"/>
          <w:sz w:val="32"/>
          <w:szCs w:val="32"/>
          <w:lang w:val="en-US"/>
          <w14:textFill>
            <w14:solidFill>
              <w14:schemeClr w14:val="tx1"/>
            </w14:solidFill>
          </w14:textFill>
        </w:rPr>
        <w:t>572.40</w:t>
      </w:r>
      <w:r>
        <w:rPr>
          <w:rFonts w:hint="eastAsia" w:ascii="仿宋_GB2312" w:hAnsi="ˎ̥" w:eastAsia="仿宋_GB2312"/>
          <w:color w:val="auto"/>
          <w:sz w:val="32"/>
          <w:szCs w:val="32"/>
          <w:shd w:val="clear" w:color="auto" w:fill="auto"/>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使用非财政拨款结余</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较2023年决算数增加0万元，</w:t>
      </w:r>
      <w:r>
        <w:rPr>
          <w:rFonts w:hint="eastAsia" w:ascii="仿宋_GB2312" w:hAnsi="ˎ̥" w:eastAsia="仿宋_GB2312"/>
          <w:color w:val="auto"/>
          <w:sz w:val="32"/>
          <w:szCs w:val="32"/>
          <w:shd w:val="clear" w:color="auto" w:fill="auto"/>
        </w:rPr>
        <w:t>主要原因是一</w:t>
      </w:r>
      <w:r>
        <w:rPr>
          <w:rFonts w:hint="eastAsia" w:ascii="仿宋_GB2312" w:hAnsi="ˎ̥" w:eastAsia="仿宋_GB2312"/>
          <w:color w:val="auto"/>
          <w:sz w:val="32"/>
          <w:szCs w:val="32"/>
          <w:shd w:val="clear" w:color="auto" w:fill="auto"/>
          <w:lang w:val="en-US" w:eastAsia="zh-CN"/>
        </w:rPr>
        <w:t>是本单位为2024年新增单位</w:t>
      </w:r>
      <w:r>
        <w:rPr>
          <w:rFonts w:hint="eastAsia" w:ascii="仿宋_GB2312" w:hAnsi="ˎ̥" w:eastAsia="仿宋_GB2312"/>
          <w:color w:val="auto"/>
          <w:sz w:val="32"/>
          <w:szCs w:val="32"/>
          <w:shd w:val="clear" w:color="auto" w:fill="auto"/>
        </w:rPr>
        <w:t>；年初结转结余</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主要原因是</w:t>
      </w:r>
      <w:r>
        <w:rPr>
          <w:rFonts w:hint="eastAsia" w:ascii="仿宋_GB2312" w:hAnsi="ˎ̥" w:eastAsia="仿宋_GB2312"/>
          <w:color w:val="auto"/>
          <w:sz w:val="32"/>
          <w:szCs w:val="32"/>
          <w:shd w:val="clear" w:color="auto" w:fill="auto"/>
          <w:lang w:val="en-US" w:eastAsia="zh-CN"/>
        </w:rPr>
        <w:t>本单位为2024年新增单位，无此项经费。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lang w:eastAsia="zh-CN"/>
        </w:rPr>
      </w:pPr>
      <w:r>
        <w:rPr>
          <w:rFonts w:hint="eastAsia" w:ascii="楷体" w:hAnsi="楷体" w:eastAsia="楷体" w:cs="楷体"/>
          <w:color w:val="auto"/>
          <w:sz w:val="32"/>
          <w:szCs w:val="32"/>
          <w:shd w:val="clear" w:color="auto" w:fill="auto"/>
        </w:rPr>
        <w:t>（二</w:t>
      </w:r>
      <w:r>
        <w:rPr>
          <w:rFonts w:ascii="楷体" w:hAnsi="楷体" w:eastAsia="楷体" w:cs="楷体"/>
          <w:color w:val="auto"/>
          <w:sz w:val="32"/>
          <w:szCs w:val="32"/>
          <w:shd w:val="clear" w:color="auto" w:fill="auto"/>
        </w:rPr>
        <w:t>）</w:t>
      </w:r>
      <w:r>
        <w:rPr>
          <w:rFonts w:hint="eastAsia" w:ascii="楷体" w:hAnsi="楷体" w:eastAsia="楷体" w:cs="楷体"/>
          <w:color w:val="auto"/>
          <w:sz w:val="32"/>
          <w:szCs w:val="32"/>
          <w:shd w:val="clear" w:color="auto" w:fill="auto"/>
        </w:rPr>
        <w:t>支出</w:t>
      </w:r>
      <w:r>
        <w:rPr>
          <w:rFonts w:ascii="楷体" w:hAnsi="楷体" w:eastAsia="楷体" w:cs="楷体"/>
          <w:color w:val="auto"/>
          <w:sz w:val="32"/>
          <w:szCs w:val="32"/>
          <w:shd w:val="clear" w:color="auto" w:fill="auto"/>
        </w:rPr>
        <w:t>总计</w:t>
      </w:r>
      <w:r>
        <w:rPr>
          <w:rFonts w:hint="eastAsia" w:ascii="楷体" w:hAnsi="楷体" w:eastAsia="楷体" w:cs="楷体"/>
          <w:color w:val="auto"/>
          <w:sz w:val="32"/>
          <w:szCs w:val="32"/>
          <w:shd w:val="clear" w:color="auto" w:fill="auto"/>
        </w:rPr>
        <w:t>主要</w:t>
      </w:r>
      <w:r>
        <w:rPr>
          <w:rFonts w:ascii="楷体" w:hAnsi="楷体" w:eastAsia="楷体" w:cs="楷体"/>
          <w:color w:val="auto"/>
          <w:sz w:val="32"/>
          <w:szCs w:val="32"/>
          <w:shd w:val="clear" w:color="auto" w:fill="auto"/>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本年支出</w:t>
      </w:r>
      <w:r>
        <w:rPr>
          <w:rFonts w:hint="default" w:ascii="仿宋_GB2312" w:hAnsi="ˎ̥" w:eastAsia="仿宋_GB2312"/>
          <w:color w:val="000000" w:themeColor="text1"/>
          <w:sz w:val="32"/>
          <w:szCs w:val="32"/>
          <w:lang w:val="en-US"/>
          <w14:textFill>
            <w14:solidFill>
              <w14:schemeClr w14:val="tx1"/>
            </w14:solidFill>
          </w14:textFill>
        </w:rPr>
        <w:t>572.40</w:t>
      </w:r>
      <w:r>
        <w:rPr>
          <w:rFonts w:hint="eastAsia" w:ascii="仿宋_GB2312" w:hAnsi="ˎ̥" w:eastAsia="仿宋_GB2312"/>
          <w:color w:val="auto"/>
          <w:sz w:val="32"/>
          <w:szCs w:val="32"/>
          <w:shd w:val="clear" w:color="auto" w:fill="auto"/>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 xml:space="preserve">  结余分配</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主要是无结转资金，较2023年决算数增加0万元，增长0%，</w:t>
      </w:r>
      <w:r>
        <w:rPr>
          <w:rFonts w:hint="eastAsia" w:ascii="仿宋_GB2312" w:hAnsi="ˎ̥" w:eastAsia="仿宋_GB2312"/>
          <w:color w:val="auto"/>
          <w:sz w:val="32"/>
          <w:szCs w:val="32"/>
          <w:shd w:val="clear" w:color="auto" w:fill="auto"/>
        </w:rPr>
        <w:t>主要原因是一</w:t>
      </w:r>
      <w:r>
        <w:rPr>
          <w:rFonts w:hint="eastAsia" w:ascii="仿宋_GB2312" w:hAnsi="ˎ̥" w:eastAsia="仿宋_GB2312"/>
          <w:color w:val="auto"/>
          <w:sz w:val="32"/>
          <w:szCs w:val="32"/>
          <w:shd w:val="clear" w:color="auto" w:fill="auto"/>
          <w:lang w:val="en-US" w:eastAsia="zh-CN"/>
        </w:rPr>
        <w:t>是本单位为2024年新增单位。</w:t>
      </w:r>
    </w:p>
    <w:p>
      <w:pPr>
        <w:keepNext w:val="0"/>
        <w:keepLines w:val="0"/>
        <w:pageBreakBefore w:val="0"/>
        <w:widowControl w:val="0"/>
        <w:kinsoku/>
        <w:wordWrap/>
        <w:overflowPunct/>
        <w:topLinePunct w:val="0"/>
        <w:autoSpaceDE/>
        <w:autoSpaceDN/>
        <w:bidi w:val="0"/>
        <w:adjustRightInd/>
        <w:snapToGrid/>
        <w:spacing w:line="578" w:lineRule="exact"/>
        <w:ind w:firstLine="320" w:firstLineChars="100"/>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年末结转结余</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较2023年决算数增加0万元，增长0%，</w:t>
      </w:r>
      <w:r>
        <w:rPr>
          <w:rFonts w:hint="eastAsia" w:ascii="仿宋_GB2312" w:hAnsi="ˎ̥" w:eastAsia="仿宋_GB2312"/>
          <w:color w:val="auto"/>
          <w:sz w:val="32"/>
          <w:szCs w:val="32"/>
          <w:shd w:val="clear" w:color="auto" w:fill="auto"/>
        </w:rPr>
        <w:t>主要</w:t>
      </w:r>
      <w:r>
        <w:rPr>
          <w:rFonts w:hint="eastAsia" w:ascii="仿宋_GB2312" w:hAnsi="ˎ̥" w:eastAsia="仿宋_GB2312"/>
          <w:color w:val="auto"/>
          <w:sz w:val="32"/>
          <w:szCs w:val="32"/>
          <w:shd w:val="clear" w:color="auto" w:fill="auto"/>
          <w:lang w:val="en-US" w:eastAsia="zh-CN"/>
        </w:rPr>
        <w:t>原因</w:t>
      </w:r>
      <w:r>
        <w:rPr>
          <w:rFonts w:hint="eastAsia" w:ascii="仿宋_GB2312" w:hAnsi="ˎ̥" w:eastAsia="仿宋_GB2312"/>
          <w:color w:val="auto"/>
          <w:sz w:val="32"/>
          <w:szCs w:val="32"/>
          <w:shd w:val="clear" w:color="auto" w:fill="auto"/>
        </w:rPr>
        <w:t>是</w:t>
      </w:r>
      <w:r>
        <w:rPr>
          <w:rFonts w:hint="eastAsia" w:ascii="仿宋_GB2312" w:hAnsi="ˎ̥" w:eastAsia="仿宋_GB2312"/>
          <w:color w:val="auto"/>
          <w:sz w:val="32"/>
          <w:szCs w:val="32"/>
          <w:shd w:val="clear" w:color="auto" w:fill="auto"/>
          <w:lang w:val="en-US" w:eastAsia="zh-CN"/>
        </w:rPr>
        <w:t>本单位为2024年新增单位。</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 xml:space="preserve"> （注</w:t>
      </w:r>
      <w:r>
        <w:rPr>
          <w:rFonts w:ascii="仿宋_GB2312" w:hAnsi="ˎ̥" w:eastAsia="仿宋_GB2312"/>
          <w:color w:val="auto"/>
          <w:sz w:val="32"/>
          <w:szCs w:val="32"/>
          <w:shd w:val="clear" w:color="auto" w:fill="auto"/>
        </w:rPr>
        <w:t>：</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年度相关决算数据可取自附件财决公开01、02</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03</w:t>
      </w:r>
      <w:r>
        <w:rPr>
          <w:rFonts w:hint="eastAsia" w:ascii="仿宋_GB2312" w:hAnsi="ˎ̥" w:eastAsia="仿宋_GB2312"/>
          <w:color w:val="auto"/>
          <w:sz w:val="32"/>
          <w:szCs w:val="32"/>
          <w:shd w:val="clear" w:color="auto" w:fill="auto"/>
        </w:rPr>
        <w:t>表；</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年度相关决算数据可取自</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年度部门决算报表财决01表《收入支出决算总表》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shd w:val="clear" w:color="auto" w:fill="auto"/>
        </w:rPr>
      </w:pPr>
      <w:r>
        <w:rPr>
          <w:rFonts w:hint="eastAsia" w:ascii="黑体" w:hAnsi="黑体" w:eastAsia="黑体" w:cs="黑体"/>
          <w:bCs/>
          <w:color w:val="auto"/>
          <w:sz w:val="32"/>
          <w:szCs w:val="32"/>
          <w:shd w:val="clear" w:color="auto" w:fill="auto"/>
        </w:rPr>
        <w:t>二、收入决算情况说明</w:t>
      </w:r>
      <w:r>
        <w:rPr>
          <w:rFonts w:hint="eastAsia" w:ascii="黑体" w:hAnsi="黑体" w:eastAsia="黑体" w:cs="黑体"/>
          <w:bCs/>
          <w:color w:val="auto"/>
          <w:sz w:val="32"/>
          <w:szCs w:val="32"/>
          <w:shd w:val="clear" w:color="auto" w:fill="auto"/>
        </w:rPr>
        <w:br w:type="textWrapping"/>
      </w:r>
      <w:r>
        <w:rPr>
          <w:rFonts w:hint="eastAsia" w:ascii="仿宋_GB2312" w:hAnsi="ˎ̥" w:eastAsia="仿宋_GB2312"/>
          <w:color w:val="auto"/>
          <w:sz w:val="32"/>
          <w:szCs w:val="32"/>
          <w:shd w:val="clear" w:color="auto" w:fill="auto"/>
        </w:rPr>
        <w:t xml:space="preserve">    本年收入</w:t>
      </w:r>
      <w:r>
        <w:rPr>
          <w:rFonts w:hint="default" w:ascii="仿宋_GB2312" w:hAnsi="ˎ̥" w:eastAsia="仿宋_GB2312"/>
          <w:color w:val="000000" w:themeColor="text1"/>
          <w:sz w:val="32"/>
          <w:szCs w:val="32"/>
          <w:lang w:val="en-US"/>
          <w14:textFill>
            <w14:solidFill>
              <w14:schemeClr w14:val="tx1"/>
            </w14:solidFill>
          </w14:textFill>
        </w:rPr>
        <w:t>572.40</w:t>
      </w:r>
      <w:r>
        <w:rPr>
          <w:rFonts w:hint="eastAsia" w:ascii="仿宋_GB2312" w:hAnsi="ˎ̥" w:eastAsia="仿宋_GB2312"/>
          <w:color w:val="auto"/>
          <w:sz w:val="32"/>
          <w:szCs w:val="32"/>
          <w:shd w:val="clear" w:color="auto" w:fill="auto"/>
        </w:rPr>
        <w:t>万元，其中：财政拨款收入</w:t>
      </w:r>
      <w:r>
        <w:rPr>
          <w:rFonts w:hint="default" w:ascii="仿宋_GB2312" w:hAnsi="ˎ̥" w:eastAsia="仿宋_GB2312"/>
          <w:color w:val="000000" w:themeColor="text1"/>
          <w:sz w:val="32"/>
          <w:szCs w:val="32"/>
          <w:lang w:val="en-US"/>
          <w14:textFill>
            <w14:solidFill>
              <w14:schemeClr w14:val="tx1"/>
            </w14:solidFill>
          </w14:textFill>
        </w:rPr>
        <w:t>572.40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100</w:t>
      </w:r>
      <w:r>
        <w:rPr>
          <w:rFonts w:hint="eastAsia" w:ascii="仿宋_GB2312" w:hAnsi="ˎ̥" w:eastAsia="仿宋_GB2312"/>
          <w:color w:val="auto"/>
          <w:sz w:val="32"/>
          <w:szCs w:val="32"/>
          <w:shd w:val="clear" w:color="auto" w:fill="auto"/>
        </w:rPr>
        <w:t>%；上级补助收入</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%；事业收入</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%；经营收入</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%；附属单位上缴收入</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%；其他收入</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 xml:space="preserve"> （注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上述各项收入数可取自财决公开02表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shd w:val="clear" w:color="auto" w:fill="auto"/>
        </w:rPr>
      </w:pPr>
      <w:r>
        <w:rPr>
          <w:rFonts w:hint="eastAsia" w:ascii="黑体" w:hAnsi="黑体" w:eastAsia="黑体" w:cs="黑体"/>
          <w:bCs/>
          <w:color w:val="auto"/>
          <w:sz w:val="32"/>
          <w:szCs w:val="32"/>
          <w:shd w:val="clear" w:color="auto" w:fill="auto"/>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本年支出</w:t>
      </w:r>
      <w:r>
        <w:rPr>
          <w:rFonts w:hint="default" w:ascii="仿宋_GB2312" w:hAnsi="ˎ̥" w:eastAsia="仿宋_GB2312"/>
          <w:color w:val="000000" w:themeColor="text1"/>
          <w:sz w:val="32"/>
          <w:szCs w:val="32"/>
          <w:lang w:val="en-US"/>
          <w14:textFill>
            <w14:solidFill>
              <w14:schemeClr w14:val="tx1"/>
            </w14:solidFill>
          </w14:textFill>
        </w:rPr>
        <w:t>572.40</w:t>
      </w:r>
      <w:r>
        <w:rPr>
          <w:rFonts w:hint="eastAsia" w:ascii="仿宋_GB2312" w:hAnsi="ˎ̥" w:eastAsia="仿宋_GB2312"/>
          <w:color w:val="auto"/>
          <w:sz w:val="32"/>
          <w:szCs w:val="32"/>
          <w:shd w:val="clear" w:color="auto" w:fill="auto"/>
        </w:rPr>
        <w:t>万元，其中：基本支出</w:t>
      </w:r>
      <w:r>
        <w:rPr>
          <w:rFonts w:hint="default" w:ascii="仿宋_GB2312" w:hAnsi="ˎ̥" w:eastAsia="仿宋_GB2312"/>
          <w:color w:val="000000" w:themeColor="text1"/>
          <w:sz w:val="32"/>
          <w:szCs w:val="32"/>
          <w:lang w:val="en-US"/>
          <w14:textFill>
            <w14:solidFill>
              <w14:schemeClr w14:val="tx1"/>
            </w14:solidFill>
          </w14:textFill>
        </w:rPr>
        <w:t>572.40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100</w:t>
      </w:r>
      <w:r>
        <w:rPr>
          <w:rFonts w:hint="eastAsia" w:ascii="仿宋_GB2312" w:hAnsi="ˎ̥" w:eastAsia="仿宋_GB2312"/>
          <w:color w:val="auto"/>
          <w:sz w:val="32"/>
          <w:szCs w:val="32"/>
          <w:shd w:val="clear" w:color="auto" w:fill="auto"/>
        </w:rPr>
        <w:t>%；项目支出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%；上缴上级支出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%；经营支出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%；对附属单位补助支出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上述各项支出数可取自财决公开03表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shd w:val="clear" w:color="auto" w:fill="auto"/>
        </w:rPr>
      </w:pPr>
      <w:r>
        <w:rPr>
          <w:rFonts w:hint="eastAsia" w:ascii="黑体" w:hAnsi="黑体" w:eastAsia="黑体" w:cs="黑体"/>
          <w:bCs/>
          <w:color w:val="auto"/>
          <w:sz w:val="32"/>
          <w:szCs w:val="32"/>
          <w:shd w:val="clear" w:color="auto" w:fill="auto"/>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年度财政拨款收入</w:t>
      </w:r>
      <w:r>
        <w:rPr>
          <w:rFonts w:hint="default" w:ascii="仿宋_GB2312" w:hAnsi="ˎ̥" w:eastAsia="仿宋_GB2312"/>
          <w:color w:val="000000" w:themeColor="text1"/>
          <w:sz w:val="32"/>
          <w:szCs w:val="32"/>
          <w:lang w:val="en-US"/>
          <w14:textFill>
            <w14:solidFill>
              <w14:schemeClr w14:val="tx1"/>
            </w14:solidFill>
          </w14:textFill>
        </w:rPr>
        <w:t>572.40</w:t>
      </w:r>
      <w:r>
        <w:rPr>
          <w:rFonts w:hint="eastAsia" w:ascii="仿宋_GB2312" w:hAnsi="ˎ̥" w:eastAsia="仿宋_GB2312"/>
          <w:color w:val="auto"/>
          <w:sz w:val="32"/>
          <w:szCs w:val="32"/>
          <w:shd w:val="clear" w:color="auto" w:fill="auto"/>
        </w:rPr>
        <w:t>万元，支出</w:t>
      </w:r>
      <w:r>
        <w:rPr>
          <w:rFonts w:hint="default" w:ascii="仿宋_GB2312" w:hAnsi="ˎ̥" w:eastAsia="仿宋_GB2312"/>
          <w:color w:val="000000" w:themeColor="text1"/>
          <w:sz w:val="32"/>
          <w:szCs w:val="32"/>
          <w:lang w:val="en-US"/>
          <w14:textFill>
            <w14:solidFill>
              <w14:schemeClr w14:val="tx1"/>
            </w14:solidFill>
          </w14:textFill>
        </w:rPr>
        <w:t>572.40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与2023年度相比，财政拨款收入增加</w:t>
      </w:r>
      <w:r>
        <w:rPr>
          <w:rFonts w:hint="default" w:ascii="仿宋_GB2312" w:hAnsi="ˎ̥" w:eastAsia="仿宋_GB2312"/>
          <w:color w:val="000000" w:themeColor="text1"/>
          <w:sz w:val="32"/>
          <w:szCs w:val="32"/>
          <w:lang w:val="en-US"/>
          <w14:textFill>
            <w14:solidFill>
              <w14:schemeClr w14:val="tx1"/>
            </w14:solidFill>
          </w14:textFill>
        </w:rPr>
        <w:t>572.40</w:t>
      </w:r>
      <w:r>
        <w:rPr>
          <w:rFonts w:hint="eastAsia" w:ascii="仿宋_GB2312" w:hAnsi="ˎ̥" w:eastAsia="仿宋_GB2312"/>
          <w:color w:val="auto"/>
          <w:sz w:val="32"/>
          <w:szCs w:val="32"/>
          <w:shd w:val="clear" w:color="auto" w:fill="auto"/>
          <w:lang w:val="en-US" w:eastAsia="zh-CN"/>
        </w:rPr>
        <w:t>万元，增长100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val="en-US" w:eastAsia="zh-CN"/>
        </w:rPr>
        <w:t>,</w:t>
      </w:r>
      <w:r>
        <w:rPr>
          <w:rFonts w:hint="eastAsia" w:ascii="仿宋_GB2312" w:hAnsi="ˎ̥" w:eastAsia="仿宋_GB2312"/>
          <w:color w:val="auto"/>
          <w:sz w:val="32"/>
          <w:szCs w:val="32"/>
          <w:shd w:val="clear" w:color="auto" w:fill="auto"/>
        </w:rPr>
        <w:t>主要原因：一</w:t>
      </w:r>
      <w:r>
        <w:rPr>
          <w:rFonts w:hint="eastAsia" w:ascii="仿宋_GB2312" w:hAnsi="ˎ̥" w:eastAsia="仿宋_GB2312"/>
          <w:color w:val="auto"/>
          <w:sz w:val="32"/>
          <w:szCs w:val="32"/>
          <w:shd w:val="clear" w:color="auto" w:fill="auto"/>
          <w:lang w:val="en-US" w:eastAsia="zh-CN"/>
        </w:rPr>
        <w:t>是本单位为2024年新增单位。</w:t>
      </w:r>
      <w:r>
        <w:rPr>
          <w:rFonts w:hint="eastAsia" w:ascii="仿宋_GB2312" w:hAnsi="ˎ̥" w:eastAsia="仿宋_GB2312"/>
          <w:color w:val="auto"/>
          <w:sz w:val="32"/>
          <w:szCs w:val="32"/>
          <w:shd w:val="clear" w:color="auto" w:fill="auto"/>
        </w:rPr>
        <w:t>财政拨款年初结转结余</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财政拨款收入增加0万元，增长0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val="en-US" w:eastAsia="zh-CN"/>
        </w:rPr>
        <w:t>,</w:t>
      </w:r>
      <w:r>
        <w:rPr>
          <w:rFonts w:hint="eastAsia" w:ascii="仿宋_GB2312" w:hAnsi="ˎ̥" w:eastAsia="仿宋_GB2312"/>
          <w:color w:val="auto"/>
          <w:sz w:val="32"/>
          <w:szCs w:val="32"/>
          <w:shd w:val="clear" w:color="auto" w:fill="auto"/>
        </w:rPr>
        <w:t>主要</w:t>
      </w:r>
      <w:r>
        <w:rPr>
          <w:rFonts w:hint="eastAsia" w:ascii="仿宋_GB2312" w:hAnsi="ˎ̥" w:eastAsia="仿宋_GB2312"/>
          <w:color w:val="auto"/>
          <w:sz w:val="32"/>
          <w:szCs w:val="32"/>
          <w:shd w:val="clear" w:color="auto" w:fill="auto"/>
          <w:lang w:val="en-US" w:eastAsia="zh-CN"/>
        </w:rPr>
        <w:t>原因</w:t>
      </w:r>
      <w:r>
        <w:rPr>
          <w:rFonts w:hint="eastAsia" w:ascii="仿宋_GB2312" w:hAnsi="ˎ̥" w:eastAsia="仿宋_GB2312"/>
          <w:color w:val="auto"/>
          <w:sz w:val="32"/>
          <w:szCs w:val="32"/>
          <w:shd w:val="clear" w:color="auto" w:fill="auto"/>
        </w:rPr>
        <w:t>是</w:t>
      </w:r>
      <w:r>
        <w:rPr>
          <w:rFonts w:hint="eastAsia" w:ascii="仿宋_GB2312" w:hAnsi="ˎ̥" w:eastAsia="仿宋_GB2312"/>
          <w:color w:val="auto"/>
          <w:sz w:val="32"/>
          <w:szCs w:val="32"/>
          <w:shd w:val="clear" w:color="auto" w:fill="auto"/>
          <w:lang w:val="en-US" w:eastAsia="zh-CN"/>
        </w:rPr>
        <w:t>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highlight w:val="none"/>
          <w:shd w:val="clear" w:color="auto" w:fill="auto"/>
        </w:rPr>
      </w:pPr>
      <w:r>
        <w:rPr>
          <w:rFonts w:hint="eastAsia" w:ascii="仿宋_GB2312" w:hAnsi="ˎ̥" w:eastAsia="仿宋_GB2312"/>
          <w:color w:val="auto"/>
          <w:sz w:val="32"/>
          <w:szCs w:val="32"/>
          <w:shd w:val="clear" w:color="auto" w:fill="auto"/>
        </w:rPr>
        <w:t>财政拨款年末结转结余</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财政拨款收入增加0万元，增长0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val="en-US" w:eastAsia="zh-CN"/>
        </w:rPr>
        <w:t>,主要原因</w:t>
      </w:r>
      <w:r>
        <w:rPr>
          <w:rFonts w:hint="eastAsia" w:ascii="仿宋_GB2312" w:hAnsi="ˎ̥" w:eastAsia="仿宋_GB2312"/>
          <w:color w:val="auto"/>
          <w:sz w:val="32"/>
          <w:szCs w:val="32"/>
          <w:highlight w:val="none"/>
          <w:shd w:val="clear" w:color="auto" w:fill="auto"/>
          <w:lang w:val="en-US" w:eastAsia="zh-CN"/>
        </w:rPr>
        <w:t>是无结转资金</w:t>
      </w:r>
      <w:r>
        <w:rPr>
          <w:rFonts w:hint="eastAsia" w:ascii="仿宋_GB2312" w:hAnsi="ˎ̥" w:eastAsia="仿宋_GB2312"/>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年度决算相关数据可取自财决公开04表。</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年度决算相关数据可取自</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年度部门决算报表财决01-1表《财政拨款收入支出决算总表》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shd w:val="clear" w:color="auto" w:fill="auto"/>
        </w:rPr>
      </w:pPr>
      <w:r>
        <w:rPr>
          <w:rFonts w:hint="eastAsia" w:ascii="黑体" w:hAnsi="黑体" w:eastAsia="黑体" w:cs="黑体"/>
          <w:bCs/>
          <w:color w:val="auto"/>
          <w:sz w:val="32"/>
          <w:szCs w:val="32"/>
          <w:shd w:val="clear" w:color="auto" w:fill="auto"/>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bookmarkStart w:id="79" w:name="_Toc17398_WPSOffice_Level2"/>
      <w:bookmarkStart w:id="80" w:name="_Toc19665_WPSOffice_Level2"/>
      <w:bookmarkStart w:id="81" w:name="_Toc9989_WPSOffice_Level2"/>
      <w:bookmarkStart w:id="82" w:name="_Toc13694_WPSOffice_Level2"/>
      <w:bookmarkStart w:id="83" w:name="_Toc23005_WPSOffice_Level2"/>
      <w:bookmarkStart w:id="84" w:name="_Toc21737_WPSOffice_Level2"/>
      <w:r>
        <w:rPr>
          <w:rFonts w:hint="eastAsia" w:ascii="楷体" w:hAnsi="楷体" w:eastAsia="楷体" w:cs="楷体"/>
          <w:color w:val="auto"/>
          <w:sz w:val="32"/>
          <w:szCs w:val="32"/>
          <w:shd w:val="clear" w:color="auto" w:fill="auto"/>
        </w:rPr>
        <w:t>（一）一般公共预算财政拨款支出决算总体情况</w:t>
      </w:r>
      <w:bookmarkEnd w:id="79"/>
      <w:bookmarkEnd w:id="80"/>
      <w:bookmarkEnd w:id="81"/>
      <w:bookmarkEnd w:id="82"/>
      <w:bookmarkEnd w:id="83"/>
      <w:bookmarkEnd w:id="8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年度一般公共预算财政拨款支出</w:t>
      </w:r>
      <w:r>
        <w:rPr>
          <w:rFonts w:hint="default" w:ascii="仿宋_GB2312" w:hAnsi="ˎ̥" w:eastAsia="仿宋_GB2312"/>
          <w:color w:val="000000" w:themeColor="text1"/>
          <w:sz w:val="32"/>
          <w:szCs w:val="32"/>
          <w:lang w:val="en-US"/>
          <w14:textFill>
            <w14:solidFill>
              <w14:schemeClr w14:val="tx1"/>
            </w14:solidFill>
          </w14:textFill>
        </w:rPr>
        <w:t>572.40</w:t>
      </w:r>
      <w:r>
        <w:rPr>
          <w:rFonts w:hint="eastAsia" w:ascii="仿宋_GB2312" w:hAnsi="ˎ̥" w:eastAsia="仿宋_GB2312"/>
          <w:color w:val="auto"/>
          <w:sz w:val="32"/>
          <w:szCs w:val="32"/>
          <w:shd w:val="clear" w:color="auto" w:fill="auto"/>
        </w:rPr>
        <w:t>万元占本年支出合计的</w:t>
      </w:r>
      <w:r>
        <w:rPr>
          <w:rFonts w:hint="eastAsia" w:ascii="仿宋_GB2312" w:hAnsi="ˎ̥" w:eastAsia="仿宋_GB2312"/>
          <w:color w:val="auto"/>
          <w:sz w:val="32"/>
          <w:szCs w:val="32"/>
          <w:shd w:val="clear" w:color="auto" w:fill="auto"/>
          <w:lang w:val="en-US" w:eastAsia="zh-CN"/>
        </w:rPr>
        <w:t>100</w:t>
      </w:r>
      <w:r>
        <w:rPr>
          <w:rFonts w:hint="eastAsia" w:ascii="仿宋_GB2312" w:hAnsi="ˎ̥" w:eastAsia="仿宋_GB2312"/>
          <w:color w:val="auto"/>
          <w:sz w:val="32"/>
          <w:szCs w:val="32"/>
          <w:shd w:val="clear" w:color="auto" w:fill="auto"/>
        </w:rPr>
        <w:t>%。与</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年度相比，一般公共预算财政拨款支出增加</w:t>
      </w:r>
      <w:r>
        <w:rPr>
          <w:rFonts w:hint="default" w:ascii="仿宋_GB2312" w:hAnsi="ˎ̥" w:eastAsia="仿宋_GB2312"/>
          <w:color w:val="000000" w:themeColor="text1"/>
          <w:sz w:val="32"/>
          <w:szCs w:val="32"/>
          <w:lang w:val="en-US"/>
          <w14:textFill>
            <w14:solidFill>
              <w14:schemeClr w14:val="tx1"/>
            </w14:solidFill>
          </w14:textFill>
        </w:rPr>
        <w:t>572.40</w:t>
      </w:r>
      <w:r>
        <w:rPr>
          <w:rFonts w:hint="eastAsia" w:ascii="仿宋_GB2312" w:hAnsi="ˎ̥" w:eastAsia="仿宋_GB2312"/>
          <w:color w:val="auto"/>
          <w:sz w:val="32"/>
          <w:szCs w:val="32"/>
          <w:shd w:val="clear" w:color="auto" w:fill="auto"/>
        </w:rPr>
        <w:t>万元，增长</w:t>
      </w:r>
      <w:r>
        <w:rPr>
          <w:rFonts w:hint="eastAsia" w:ascii="仿宋_GB2312" w:hAnsi="ˎ̥" w:eastAsia="仿宋_GB2312"/>
          <w:color w:val="auto"/>
          <w:sz w:val="32"/>
          <w:szCs w:val="32"/>
          <w:shd w:val="clear" w:color="auto" w:fill="auto"/>
          <w:lang w:val="en-US" w:eastAsia="zh-CN"/>
        </w:rPr>
        <w:t>100</w:t>
      </w:r>
      <w:r>
        <w:rPr>
          <w:rFonts w:hint="eastAsia" w:ascii="仿宋_GB2312" w:hAnsi="ˎ̥" w:eastAsia="仿宋_GB2312"/>
          <w:color w:val="auto"/>
          <w:sz w:val="32"/>
          <w:szCs w:val="32"/>
          <w:shd w:val="clear" w:color="auto" w:fill="auto"/>
        </w:rPr>
        <w:t>%，主要原因一</w:t>
      </w:r>
      <w:r>
        <w:rPr>
          <w:rFonts w:hint="eastAsia" w:ascii="仿宋_GB2312" w:hAnsi="ˎ̥" w:eastAsia="仿宋_GB2312"/>
          <w:color w:val="auto"/>
          <w:sz w:val="32"/>
          <w:szCs w:val="32"/>
          <w:shd w:val="clear" w:color="auto" w:fill="auto"/>
          <w:lang w:val="en-US" w:eastAsia="zh-CN"/>
        </w:rPr>
        <w:t>是本单位为2024年新增单位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bookmarkStart w:id="85" w:name="_Toc19075_WPSOffice_Level2"/>
      <w:bookmarkStart w:id="86" w:name="_Toc23864_WPSOffice_Level2"/>
      <w:bookmarkStart w:id="87" w:name="_Toc2711_WPSOffice_Level2"/>
      <w:bookmarkStart w:id="88" w:name="_Toc18793_WPSOffice_Level2"/>
      <w:bookmarkStart w:id="89" w:name="_Toc27767_WPSOffice_Level2"/>
      <w:bookmarkStart w:id="90" w:name="_Toc19535_WPSOffice_Level2"/>
      <w:r>
        <w:rPr>
          <w:rFonts w:hint="eastAsia" w:ascii="楷体" w:hAnsi="楷体" w:eastAsia="楷体" w:cs="楷体"/>
          <w:color w:val="auto"/>
          <w:sz w:val="32"/>
          <w:szCs w:val="32"/>
          <w:shd w:val="clear" w:color="auto" w:fill="auto"/>
        </w:rPr>
        <w:t>（二）一般公共预算财政拨款支出决算结构情况</w:t>
      </w:r>
      <w:bookmarkEnd w:id="85"/>
      <w:bookmarkEnd w:id="86"/>
      <w:bookmarkEnd w:id="87"/>
      <w:bookmarkEnd w:id="88"/>
      <w:bookmarkEnd w:id="89"/>
      <w:bookmarkEnd w:id="9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年度一般公共预算财政拨款支出</w:t>
      </w:r>
      <w:r>
        <w:rPr>
          <w:rFonts w:hint="default" w:ascii="仿宋_GB2312" w:hAnsi="ˎ̥" w:eastAsia="仿宋_GB2312"/>
          <w:color w:val="000000" w:themeColor="text1"/>
          <w:sz w:val="32"/>
          <w:szCs w:val="32"/>
          <w:lang w:val="en-US"/>
          <w14:textFill>
            <w14:solidFill>
              <w14:schemeClr w14:val="tx1"/>
            </w14:solidFill>
          </w14:textFill>
        </w:rPr>
        <w:t>572.40</w:t>
      </w:r>
      <w:r>
        <w:rPr>
          <w:rFonts w:hint="eastAsia" w:ascii="仿宋_GB2312" w:hAnsi="ˎ̥" w:eastAsia="仿宋_GB2312"/>
          <w:color w:val="auto"/>
          <w:sz w:val="32"/>
          <w:szCs w:val="32"/>
          <w:shd w:val="clear" w:color="auto" w:fill="auto"/>
        </w:rPr>
        <w:t>万元，主要用于以下方面：</w:t>
      </w:r>
      <w:r>
        <w:rPr>
          <w:rFonts w:hint="eastAsia" w:ascii="仿宋_GB2312" w:hAnsi="ˎ̥" w:eastAsia="仿宋_GB2312"/>
          <w:b/>
          <w:color w:val="000000" w:themeColor="text1"/>
          <w:sz w:val="32"/>
          <w:szCs w:val="32"/>
          <w:lang w:val="en-US" w:eastAsia="zh-CN"/>
          <w14:textFill>
            <w14:solidFill>
              <w14:schemeClr w14:val="tx1"/>
            </w14:solidFill>
          </w14:textFill>
        </w:rPr>
        <w:t>教育支出</w:t>
      </w:r>
      <w:r>
        <w:rPr>
          <w:rFonts w:hint="eastAsia" w:ascii="仿宋_GB2312" w:hAnsi="ˎ̥" w:eastAsia="仿宋_GB2312"/>
          <w:b/>
          <w:color w:val="000000" w:themeColor="text1"/>
          <w:sz w:val="32"/>
          <w:szCs w:val="32"/>
          <w14:textFill>
            <w14:solidFill>
              <w14:schemeClr w14:val="tx1"/>
            </w14:solidFill>
          </w14:textFill>
        </w:rPr>
        <w:t>（类）</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508</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88.74</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b/>
          <w:color w:val="000000" w:themeColor="text1"/>
          <w:sz w:val="32"/>
          <w:szCs w:val="32"/>
          <w14:textFill>
            <w14:solidFill>
              <w14:schemeClr w14:val="tx1"/>
            </w14:solidFill>
          </w14:textFill>
        </w:rPr>
        <w:t>社会保障和就业（类）</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37.28</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6.51</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b/>
          <w:bCs/>
          <w:color w:val="000000" w:themeColor="text1"/>
          <w:sz w:val="32"/>
          <w:szCs w:val="32"/>
          <w14:textFill>
            <w14:solidFill>
              <w14:schemeClr w14:val="tx1"/>
            </w14:solidFill>
          </w14:textFill>
        </w:rPr>
        <w:t>住房保障（类）</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9.12</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1.59</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b/>
          <w:bCs/>
          <w:color w:val="000000" w:themeColor="text1"/>
          <w:sz w:val="32"/>
          <w:szCs w:val="32"/>
          <w:lang w:val="en-US" w:eastAsia="zh-CN"/>
          <w14:textFill>
            <w14:solidFill>
              <w14:schemeClr w14:val="tx1"/>
            </w14:solidFill>
          </w14:textFill>
        </w:rPr>
        <w:t>卫生健康</w:t>
      </w:r>
      <w:r>
        <w:rPr>
          <w:rFonts w:hint="eastAsia" w:ascii="仿宋_GB2312" w:hAnsi="ˎ̥" w:eastAsia="仿宋_GB2312"/>
          <w:b/>
          <w:color w:val="000000" w:themeColor="text1"/>
          <w:sz w:val="32"/>
          <w:szCs w:val="32"/>
          <w14:textFill>
            <w14:solidFill>
              <w14:schemeClr w14:val="tx1"/>
            </w14:solidFill>
          </w14:textFill>
        </w:rPr>
        <w:t>（类）</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17.3</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3.02</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val="0"/>
          <w:bCs w:val="0"/>
          <w:color w:val="auto"/>
          <w:sz w:val="32"/>
          <w:szCs w:val="32"/>
          <w:shd w:val="clear" w:color="auto" w:fil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根据各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单位实际支出涉及的支出功能分类类级科目填列</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bookmarkStart w:id="91" w:name="_Toc15415_WPSOffice_Level2"/>
      <w:bookmarkStart w:id="92" w:name="_Toc22318_WPSOffice_Level2"/>
      <w:bookmarkStart w:id="93" w:name="_Toc25136_WPSOffice_Level2"/>
      <w:bookmarkStart w:id="94" w:name="_Toc29364_WPSOffice_Level2"/>
      <w:bookmarkStart w:id="95" w:name="_Toc21701_WPSOffice_Level2"/>
      <w:bookmarkStart w:id="96" w:name="_Toc9502_WPSOffice_Level2"/>
      <w:r>
        <w:rPr>
          <w:rFonts w:hint="eastAsia" w:ascii="楷体" w:hAnsi="楷体" w:eastAsia="楷体" w:cs="楷体"/>
          <w:color w:val="auto"/>
          <w:sz w:val="32"/>
          <w:szCs w:val="32"/>
          <w:shd w:val="clear" w:color="auto" w:fill="auto"/>
        </w:rPr>
        <w:t>（三）一般公共预算财政拨款支出决算具体情况</w:t>
      </w:r>
      <w:bookmarkEnd w:id="91"/>
      <w:bookmarkEnd w:id="92"/>
      <w:bookmarkEnd w:id="93"/>
      <w:bookmarkEnd w:id="94"/>
      <w:bookmarkEnd w:id="95"/>
      <w:bookmarkEnd w:id="9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年度一般公共预算财政拨款支出年初预算为</w:t>
      </w:r>
      <w:r>
        <w:rPr>
          <w:rFonts w:hint="default" w:ascii="仿宋_GB2312" w:hAnsi="ˎ̥" w:eastAsia="仿宋_GB2312"/>
          <w:color w:val="000000" w:themeColor="text1"/>
          <w:sz w:val="32"/>
          <w:szCs w:val="32"/>
          <w:lang w:val="en-US"/>
          <w14:textFill>
            <w14:solidFill>
              <w14:schemeClr w14:val="tx1"/>
            </w14:solidFill>
          </w14:textFill>
        </w:rPr>
        <w:t>572.40</w:t>
      </w:r>
      <w:r>
        <w:rPr>
          <w:rFonts w:hint="eastAsia" w:ascii="仿宋_GB2312" w:hAnsi="ˎ̥" w:eastAsia="仿宋_GB2312"/>
          <w:color w:val="auto"/>
          <w:sz w:val="32"/>
          <w:szCs w:val="32"/>
          <w:shd w:val="clear" w:color="auto" w:fill="auto"/>
        </w:rPr>
        <w:t>万元，支出决算为</w:t>
      </w:r>
      <w:r>
        <w:rPr>
          <w:rFonts w:hint="default" w:ascii="仿宋_GB2312" w:hAnsi="ˎ̥" w:eastAsia="仿宋_GB2312"/>
          <w:color w:val="000000" w:themeColor="text1"/>
          <w:sz w:val="32"/>
          <w:szCs w:val="32"/>
          <w:lang w:val="en-US"/>
          <w14:textFill>
            <w14:solidFill>
              <w14:schemeClr w14:val="tx1"/>
            </w14:solidFill>
          </w14:textFill>
        </w:rPr>
        <w:t>572.40</w:t>
      </w:r>
      <w:r>
        <w:rPr>
          <w:rFonts w:hint="eastAsia" w:ascii="仿宋_GB2312" w:hAnsi="ˎ̥" w:eastAsia="仿宋_GB2312"/>
          <w:color w:val="auto"/>
          <w:sz w:val="32"/>
          <w:szCs w:val="32"/>
          <w:shd w:val="clear" w:color="auto" w:fill="auto"/>
        </w:rPr>
        <w:t>万元，完成年初预算的</w:t>
      </w:r>
      <w:r>
        <w:rPr>
          <w:rFonts w:hint="eastAsia" w:ascii="仿宋_GB2312" w:hAnsi="ˎ̥" w:eastAsia="仿宋_GB2312"/>
          <w:color w:val="auto"/>
          <w:sz w:val="32"/>
          <w:szCs w:val="32"/>
          <w:shd w:val="clear" w:color="auto" w:fill="auto"/>
          <w:lang w:val="en-US" w:eastAsia="zh-CN"/>
        </w:rPr>
        <w:t>100</w:t>
      </w:r>
      <w:r>
        <w:rPr>
          <w:rFonts w:hint="eastAsia" w:ascii="仿宋_GB2312" w:hAnsi="ˎ̥" w:eastAsia="仿宋_GB2312"/>
          <w:color w:val="auto"/>
          <w:sz w:val="32"/>
          <w:szCs w:val="32"/>
          <w:shd w:val="clear" w:color="auto" w:fill="auto"/>
        </w:rPr>
        <w:t>%。其中：</w:t>
      </w:r>
    </w:p>
    <w:p>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firstLine="321" w:firstLineChars="100"/>
        <w:textAlignment w:val="auto"/>
        <w:rPr>
          <w:rFonts w:hint="eastAsia" w:ascii="仿宋_GB2312" w:hAnsi="ˎ̥" w:eastAsia="仿宋_GB2312"/>
          <w:b/>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lang w:val="en-US" w:eastAsia="zh-CN"/>
          <w14:textFill>
            <w14:solidFill>
              <w14:schemeClr w14:val="tx1"/>
            </w14:solidFill>
          </w14:textFill>
        </w:rPr>
        <w:t>教育支出</w:t>
      </w:r>
      <w:r>
        <w:rPr>
          <w:rFonts w:hint="eastAsia" w:ascii="仿宋_GB2312" w:hAnsi="ˎ̥" w:eastAsia="仿宋_GB2312"/>
          <w:b/>
          <w:color w:val="000000" w:themeColor="text1"/>
          <w:sz w:val="32"/>
          <w:szCs w:val="32"/>
          <w14:textFill>
            <w14:solidFill>
              <w14:schemeClr w14:val="tx1"/>
            </w14:solidFill>
          </w14:textFill>
        </w:rPr>
        <w:t>（类）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shd w:val="clear" w:color="auto" w:fill="auto"/>
          <w:lang w:val="en-US" w:eastAsia="zh-CN"/>
        </w:rPr>
      </w:pPr>
      <w:r>
        <w:rPr>
          <w:rFonts w:hint="eastAsia" w:ascii="仿宋_GB2312" w:hAnsi="ˎ̥" w:eastAsia="仿宋_GB2312"/>
          <w:color w:val="000000" w:themeColor="text1"/>
          <w:sz w:val="32"/>
          <w:szCs w:val="32"/>
          <w14:textFill>
            <w14:solidFill>
              <w14:schemeClr w14:val="tx1"/>
            </w14:solidFill>
          </w14:textFill>
        </w:rPr>
        <w:t>年初预算为</w:t>
      </w:r>
      <w:r>
        <w:rPr>
          <w:rFonts w:hint="eastAsia" w:ascii="仿宋_GB2312" w:hAnsi="ˎ̥" w:eastAsia="仿宋_GB2312"/>
          <w:color w:val="000000" w:themeColor="text1"/>
          <w:sz w:val="32"/>
          <w:szCs w:val="32"/>
          <w:lang w:val="en-US" w:eastAsia="zh-CN"/>
          <w14:textFill>
            <w14:solidFill>
              <w14:schemeClr w14:val="tx1"/>
            </w14:solidFill>
          </w14:textFill>
        </w:rPr>
        <w:t>508.7</w:t>
      </w:r>
      <w:r>
        <w:rPr>
          <w:rFonts w:hint="eastAsia" w:ascii="仿宋_GB2312" w:hAnsi="ˎ̥" w:eastAsia="仿宋_GB2312"/>
          <w:color w:val="000000" w:themeColor="text1"/>
          <w:sz w:val="32"/>
          <w:szCs w:val="32"/>
          <w14:textFill>
            <w14:solidFill>
              <w14:schemeClr w14:val="tx1"/>
            </w14:solidFill>
          </w14:textFill>
        </w:rPr>
        <w:t>万元，支出决算为</w:t>
      </w:r>
      <w:r>
        <w:rPr>
          <w:rFonts w:hint="eastAsia" w:ascii="仿宋_GB2312" w:hAnsi="ˎ̥" w:eastAsia="仿宋_GB2312"/>
          <w:color w:val="000000" w:themeColor="text1"/>
          <w:sz w:val="32"/>
          <w:szCs w:val="32"/>
          <w:lang w:val="en-US" w:eastAsia="zh-CN"/>
          <w14:textFill>
            <w14:solidFill>
              <w14:schemeClr w14:val="tx1"/>
            </w14:solidFill>
          </w14:textFill>
        </w:rPr>
        <w:t>508.7</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auto"/>
          <w:sz w:val="32"/>
          <w:szCs w:val="32"/>
          <w:shd w:val="clear" w:color="auto" w:fill="auto"/>
          <w:lang w:val="en-US" w:eastAsia="zh-CN"/>
        </w:rPr>
        <w:t>决算数等于预算数的主要原因是本单位为2024年新增单位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1" w:firstLineChars="100"/>
        <w:textAlignment w:val="auto"/>
        <w:rPr>
          <w:rFonts w:hint="eastAsia" w:ascii="仿宋_GB2312" w:hAnsi="ˎ̥" w:eastAsia="仿宋_GB2312"/>
          <w:b/>
          <w:color w:val="auto"/>
          <w:sz w:val="32"/>
          <w:szCs w:val="32"/>
          <w:shd w:val="clear" w:color="auto" w:fill="auto"/>
        </w:rPr>
      </w:pPr>
      <w:r>
        <w:rPr>
          <w:rFonts w:hint="eastAsia" w:ascii="仿宋_GB2312" w:hAnsi="ˎ̥" w:eastAsia="仿宋_GB2312"/>
          <w:b/>
          <w:color w:val="auto"/>
          <w:sz w:val="32"/>
          <w:szCs w:val="32"/>
          <w:shd w:val="clear" w:color="auto" w:fill="auto"/>
          <w:lang w:val="en-US" w:eastAsia="zh-CN"/>
        </w:rPr>
        <w:t>2.</w:t>
      </w:r>
      <w:r>
        <w:rPr>
          <w:rFonts w:hint="eastAsia" w:ascii="仿宋_GB2312" w:hAnsi="ˎ̥" w:eastAsia="仿宋_GB2312"/>
          <w:b/>
          <w:color w:val="auto"/>
          <w:sz w:val="32"/>
          <w:szCs w:val="32"/>
          <w:shd w:val="clear" w:color="auto" w:fill="auto"/>
        </w:rPr>
        <w:t>社会保障和就业（类）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default" w:ascii="仿宋_GB2312" w:hAnsi="ˎ̥" w:eastAsia="仿宋_GB2312"/>
          <w:color w:val="auto"/>
          <w:sz w:val="32"/>
          <w:szCs w:val="32"/>
          <w:shd w:val="clear" w:color="auto" w:fill="auto"/>
          <w:lang w:val="en-US" w:eastAsia="zh-CN"/>
        </w:rPr>
      </w:pPr>
      <w:r>
        <w:rPr>
          <w:rFonts w:hint="eastAsia" w:ascii="仿宋_GB2312" w:hAnsi="ˎ̥" w:eastAsia="仿宋_GB2312"/>
          <w:color w:val="000000" w:themeColor="text1"/>
          <w:sz w:val="32"/>
          <w:szCs w:val="32"/>
          <w14:textFill>
            <w14:solidFill>
              <w14:schemeClr w14:val="tx1"/>
            </w14:solidFill>
          </w14:textFill>
        </w:rPr>
        <w:t>年初预算为</w:t>
      </w:r>
      <w:r>
        <w:rPr>
          <w:rFonts w:hint="eastAsia" w:ascii="仿宋_GB2312" w:hAnsi="ˎ̥" w:eastAsia="仿宋_GB2312"/>
          <w:color w:val="000000" w:themeColor="text1"/>
          <w:sz w:val="32"/>
          <w:szCs w:val="32"/>
          <w:lang w:val="en-US" w:eastAsia="zh-CN"/>
          <w14:textFill>
            <w14:solidFill>
              <w14:schemeClr w14:val="tx1"/>
            </w14:solidFill>
          </w14:textFill>
        </w:rPr>
        <w:t>37.28</w:t>
      </w:r>
      <w:r>
        <w:rPr>
          <w:rFonts w:hint="eastAsia" w:ascii="仿宋_GB2312" w:hAnsi="ˎ̥" w:eastAsia="仿宋_GB2312"/>
          <w:color w:val="000000" w:themeColor="text1"/>
          <w:sz w:val="32"/>
          <w:szCs w:val="32"/>
          <w14:textFill>
            <w14:solidFill>
              <w14:schemeClr w14:val="tx1"/>
            </w14:solidFill>
          </w14:textFill>
        </w:rPr>
        <w:t>万元，支出决算为</w:t>
      </w:r>
      <w:r>
        <w:rPr>
          <w:rFonts w:hint="eastAsia" w:ascii="仿宋_GB2312" w:hAnsi="ˎ̥" w:eastAsia="仿宋_GB2312"/>
          <w:color w:val="000000" w:themeColor="text1"/>
          <w:sz w:val="32"/>
          <w:szCs w:val="32"/>
          <w:lang w:val="en-US" w:eastAsia="zh-CN"/>
          <w14:textFill>
            <w14:solidFill>
              <w14:schemeClr w14:val="tx1"/>
            </w14:solidFill>
          </w14:textFill>
        </w:rPr>
        <w:t>38.28</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auto"/>
          <w:sz w:val="32"/>
          <w:szCs w:val="32"/>
          <w:shd w:val="clear" w:color="auto" w:fill="auto"/>
          <w:lang w:val="en-US" w:eastAsia="zh-CN"/>
        </w:rPr>
        <w:t>决算数等于预算数的主要原因是本单位为2024年新增单位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1" w:firstLineChars="100"/>
        <w:textAlignment w:val="auto"/>
        <w:rPr>
          <w:rFonts w:hint="eastAsia" w:ascii="仿宋_GB2312" w:hAnsi="ˎ̥" w:eastAsia="仿宋_GB2312"/>
          <w:b/>
          <w:bCs/>
          <w:color w:val="auto"/>
          <w:sz w:val="32"/>
          <w:szCs w:val="32"/>
          <w:shd w:val="clear" w:color="auto" w:fill="auto"/>
        </w:rPr>
      </w:pPr>
      <w:r>
        <w:rPr>
          <w:rFonts w:hint="eastAsia" w:ascii="仿宋_GB2312" w:hAnsi="ˎ̥" w:eastAsia="仿宋_GB2312"/>
          <w:b/>
          <w:bCs/>
          <w:color w:val="auto"/>
          <w:sz w:val="32"/>
          <w:szCs w:val="32"/>
          <w:shd w:val="clear" w:color="auto" w:fill="auto"/>
          <w:lang w:val="en-US" w:eastAsia="zh-CN"/>
        </w:rPr>
        <w:t>3.</w:t>
      </w:r>
      <w:r>
        <w:rPr>
          <w:rFonts w:hint="eastAsia" w:ascii="仿宋_GB2312" w:hAnsi="ˎ̥" w:eastAsia="仿宋_GB2312"/>
          <w:b/>
          <w:bCs/>
          <w:color w:val="auto"/>
          <w:sz w:val="32"/>
          <w:szCs w:val="32"/>
          <w:shd w:val="clear" w:color="auto" w:fill="auto"/>
        </w:rPr>
        <w:t>住房保障（类）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default" w:ascii="仿宋_GB2312" w:hAnsi="ˎ̥" w:eastAsia="仿宋_GB2312"/>
          <w:color w:val="auto"/>
          <w:sz w:val="32"/>
          <w:szCs w:val="32"/>
          <w:shd w:val="clear" w:color="auto" w:fill="auto"/>
          <w:lang w:val="en-US" w:eastAsia="zh-CN"/>
        </w:rPr>
      </w:pPr>
      <w:r>
        <w:rPr>
          <w:rFonts w:hint="eastAsia" w:ascii="仿宋_GB2312" w:hAnsi="ˎ̥" w:eastAsia="仿宋_GB2312"/>
          <w:color w:val="000000" w:themeColor="text1"/>
          <w:sz w:val="32"/>
          <w:szCs w:val="32"/>
          <w14:textFill>
            <w14:solidFill>
              <w14:schemeClr w14:val="tx1"/>
            </w14:solidFill>
          </w14:textFill>
        </w:rPr>
        <w:t>年初预算为</w:t>
      </w:r>
      <w:r>
        <w:rPr>
          <w:rFonts w:hint="eastAsia" w:ascii="仿宋_GB2312" w:hAnsi="ˎ̥" w:eastAsia="仿宋_GB2312"/>
          <w:color w:val="000000" w:themeColor="text1"/>
          <w:sz w:val="32"/>
          <w:szCs w:val="32"/>
          <w:lang w:val="en-US" w:eastAsia="zh-CN"/>
          <w14:textFill>
            <w14:solidFill>
              <w14:schemeClr w14:val="tx1"/>
            </w14:solidFill>
          </w14:textFill>
        </w:rPr>
        <w:t>9.12</w:t>
      </w:r>
      <w:r>
        <w:rPr>
          <w:rFonts w:hint="eastAsia" w:ascii="仿宋_GB2312" w:hAnsi="ˎ̥" w:eastAsia="仿宋_GB2312"/>
          <w:color w:val="000000" w:themeColor="text1"/>
          <w:sz w:val="32"/>
          <w:szCs w:val="32"/>
          <w14:textFill>
            <w14:solidFill>
              <w14:schemeClr w14:val="tx1"/>
            </w14:solidFill>
          </w14:textFill>
        </w:rPr>
        <w:t>万元，支出决算为</w:t>
      </w:r>
      <w:r>
        <w:rPr>
          <w:rFonts w:hint="eastAsia" w:ascii="仿宋_GB2312" w:hAnsi="ˎ̥" w:eastAsia="仿宋_GB2312"/>
          <w:color w:val="000000" w:themeColor="text1"/>
          <w:sz w:val="32"/>
          <w:szCs w:val="32"/>
          <w:lang w:val="en-US" w:eastAsia="zh-CN"/>
          <w14:textFill>
            <w14:solidFill>
              <w14:schemeClr w14:val="tx1"/>
            </w14:solidFill>
          </w14:textFill>
        </w:rPr>
        <w:t>9.12</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auto"/>
          <w:sz w:val="32"/>
          <w:szCs w:val="32"/>
          <w:shd w:val="clear" w:color="auto" w:fill="auto"/>
          <w:lang w:val="en-US" w:eastAsia="zh-CN"/>
        </w:rPr>
        <w:t>决算数等于预算数的主要原因是本单位为2024年新增单位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1" w:firstLineChars="100"/>
        <w:textAlignment w:val="auto"/>
        <w:rPr>
          <w:rFonts w:hint="eastAsia" w:ascii="仿宋_GB2312" w:hAnsi="ˎ̥" w:eastAsia="仿宋_GB2312"/>
          <w:b/>
          <w:bCs/>
          <w:color w:val="auto"/>
          <w:sz w:val="32"/>
          <w:szCs w:val="32"/>
          <w:shd w:val="clear" w:color="auto" w:fill="auto"/>
          <w:lang w:val="en-US" w:eastAsia="zh-CN"/>
        </w:rPr>
      </w:pPr>
      <w:r>
        <w:rPr>
          <w:rFonts w:hint="eastAsia" w:ascii="仿宋_GB2312" w:hAnsi="ˎ̥" w:eastAsia="仿宋_GB2312"/>
          <w:b/>
          <w:bCs/>
          <w:color w:val="auto"/>
          <w:sz w:val="32"/>
          <w:szCs w:val="32"/>
          <w:shd w:val="clear" w:color="auto" w:fill="auto"/>
          <w:lang w:val="en-US" w:eastAsia="zh-CN"/>
        </w:rPr>
        <w:t>4.卫生健康</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320" w:firstLineChars="100"/>
        <w:textAlignment w:val="auto"/>
        <w:rPr>
          <w:rFonts w:hint="default" w:ascii="仿宋_GB2312" w:hAnsi="ˎ̥" w:eastAsia="仿宋_GB2312"/>
          <w:color w:val="auto"/>
          <w:sz w:val="32"/>
          <w:szCs w:val="32"/>
          <w:shd w:val="clear" w:color="auto" w:fill="auto"/>
          <w:lang w:val="en-US" w:eastAsia="zh-CN"/>
        </w:rPr>
      </w:pPr>
      <w:r>
        <w:rPr>
          <w:rFonts w:hint="eastAsia" w:ascii="仿宋_GB2312" w:hAnsi="ˎ̥" w:eastAsia="仿宋_GB2312"/>
          <w:color w:val="000000" w:themeColor="text1"/>
          <w:sz w:val="32"/>
          <w:szCs w:val="32"/>
          <w14:textFill>
            <w14:solidFill>
              <w14:schemeClr w14:val="tx1"/>
            </w14:solidFill>
          </w14:textFill>
        </w:rPr>
        <w:t>年初预算为</w:t>
      </w:r>
      <w:r>
        <w:rPr>
          <w:rFonts w:hint="eastAsia" w:ascii="仿宋_GB2312" w:hAnsi="ˎ̥" w:eastAsia="仿宋_GB2312"/>
          <w:color w:val="000000" w:themeColor="text1"/>
          <w:sz w:val="32"/>
          <w:szCs w:val="32"/>
          <w:lang w:val="en-US" w:eastAsia="zh-CN"/>
          <w14:textFill>
            <w14:solidFill>
              <w14:schemeClr w14:val="tx1"/>
            </w14:solidFill>
          </w14:textFill>
        </w:rPr>
        <w:t>17.3</w:t>
      </w:r>
      <w:r>
        <w:rPr>
          <w:rFonts w:hint="eastAsia" w:ascii="仿宋_GB2312" w:hAnsi="ˎ̥" w:eastAsia="仿宋_GB2312"/>
          <w:color w:val="000000" w:themeColor="text1"/>
          <w:sz w:val="32"/>
          <w:szCs w:val="32"/>
          <w14:textFill>
            <w14:solidFill>
              <w14:schemeClr w14:val="tx1"/>
            </w14:solidFill>
          </w14:textFill>
        </w:rPr>
        <w:t>万元，支出决算为</w:t>
      </w:r>
      <w:r>
        <w:rPr>
          <w:rFonts w:hint="eastAsia" w:ascii="仿宋_GB2312" w:hAnsi="ˎ̥" w:eastAsia="仿宋_GB2312"/>
          <w:color w:val="000000" w:themeColor="text1"/>
          <w:sz w:val="32"/>
          <w:szCs w:val="32"/>
          <w:lang w:val="en-US" w:eastAsia="zh-CN"/>
          <w14:textFill>
            <w14:solidFill>
              <w14:schemeClr w14:val="tx1"/>
            </w14:solidFill>
          </w14:textFill>
        </w:rPr>
        <w:t>17.3</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auto"/>
          <w:sz w:val="32"/>
          <w:szCs w:val="32"/>
          <w:shd w:val="clear" w:color="auto" w:fill="auto"/>
          <w:lang w:val="en-US" w:eastAsia="zh-CN"/>
        </w:rPr>
        <w:t>决算数等于预算数的主要原因是本单位为2024年新增单位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本部分支出决算数可取自财决公开05表，年初预算数可取自各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单位年初预算大本，根据实际支出涉及的支出功能分类项级科目填列</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shd w:val="clear" w:color="auto" w:fill="auto"/>
        </w:rPr>
      </w:pPr>
      <w:r>
        <w:rPr>
          <w:rFonts w:hint="eastAsia" w:ascii="黑体" w:hAnsi="黑体" w:eastAsia="黑体" w:cs="黑体"/>
          <w:bCs/>
          <w:color w:val="auto"/>
          <w:sz w:val="32"/>
          <w:szCs w:val="32"/>
          <w:shd w:val="clear" w:color="auto" w:fill="auto"/>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年度财政拨款基本支出</w:t>
      </w:r>
      <w:r>
        <w:rPr>
          <w:rFonts w:hint="eastAsia"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万元，其中：人员经费</w:t>
      </w:r>
      <w:r>
        <w:rPr>
          <w:rFonts w:ascii="仿宋_GB2312" w:hAnsi="ˎ̥" w:eastAsia="仿宋_GB2312"/>
          <w:color w:val="000000" w:themeColor="text1"/>
          <w:sz w:val="32"/>
          <w:szCs w:val="32"/>
          <w:lang w:val="en-US"/>
          <w14:textFill>
            <w14:solidFill>
              <w14:schemeClr w14:val="tx1"/>
            </w14:solidFill>
          </w14:textFill>
        </w:rPr>
        <w:t>552.74</w:t>
      </w:r>
      <w:r>
        <w:rPr>
          <w:rFonts w:hint="eastAsia" w:ascii="仿宋_GB2312" w:hAnsi="ˎ̥" w:eastAsia="仿宋_GB2312"/>
          <w:color w:val="auto"/>
          <w:sz w:val="32"/>
          <w:szCs w:val="32"/>
          <w:shd w:val="clear" w:color="auto" w:fill="auto"/>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ascii="仿宋_GB2312" w:hAnsi="ˎ̥" w:eastAsia="仿宋_GB2312"/>
          <w:color w:val="000000" w:themeColor="text1"/>
          <w:sz w:val="32"/>
          <w:szCs w:val="32"/>
          <w:lang w:val="en-US"/>
          <w14:textFill>
            <w14:solidFill>
              <w14:schemeClr w14:val="tx1"/>
            </w14:solidFill>
          </w14:textFill>
        </w:rPr>
        <w:t>19.66</w:t>
      </w:r>
      <w:r>
        <w:rPr>
          <w:rFonts w:hint="eastAsia" w:ascii="仿宋_GB2312" w:hAnsi="ˎ̥" w:eastAsia="仿宋_GB2312"/>
          <w:color w:val="auto"/>
          <w:sz w:val="32"/>
          <w:szCs w:val="32"/>
          <w:shd w:val="clear" w:color="auto" w:fill="auto"/>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auto"/>
          <w:sz w:val="32"/>
          <w:szCs w:val="32"/>
          <w:shd w:val="clear" w:color="auto" w:fill="auto"/>
          <w:lang w:val="en-US" w:eastAsia="zh-CN"/>
        </w:rPr>
        <w:t>购</w:t>
      </w:r>
      <w:r>
        <w:rPr>
          <w:rFonts w:hint="eastAsia" w:ascii="仿宋_GB2312" w:hAnsi="ˎ̥" w:eastAsia="仿宋_GB2312"/>
          <w:color w:val="auto"/>
          <w:sz w:val="32"/>
          <w:szCs w:val="32"/>
          <w:shd w:val="clear" w:color="auto" w:fill="auto"/>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上述</w:t>
      </w:r>
      <w:r>
        <w:rPr>
          <w:rFonts w:hint="eastAsia" w:ascii="仿宋_GB2312" w:hAnsi="ˎ̥" w:eastAsia="仿宋_GB2312"/>
          <w:color w:val="auto"/>
          <w:sz w:val="32"/>
          <w:szCs w:val="32"/>
          <w:shd w:val="clear" w:color="auto" w:fill="auto"/>
          <w:lang w:val="en-US" w:eastAsia="zh-CN"/>
        </w:rPr>
        <w:t>数据</w:t>
      </w:r>
      <w:r>
        <w:rPr>
          <w:rFonts w:hint="eastAsia" w:ascii="仿宋_GB2312" w:hAnsi="ˎ̥" w:eastAsia="仿宋_GB2312"/>
          <w:color w:val="auto"/>
          <w:sz w:val="32"/>
          <w:szCs w:val="32"/>
          <w:shd w:val="clear" w:color="auto" w:fill="auto"/>
        </w:rPr>
        <w:t>可取自财决公开06表，各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单位根据实际支出情况，选列相应支出经济分类。）</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shd w:val="clear" w:color="auto" w:fill="auto"/>
        </w:rPr>
      </w:pPr>
      <w:r>
        <w:rPr>
          <w:rFonts w:hint="eastAsia" w:ascii="黑体" w:hAnsi="黑体" w:eastAsia="黑体" w:cs="黑体"/>
          <w:bCs/>
          <w:color w:val="auto"/>
          <w:sz w:val="32"/>
          <w:szCs w:val="32"/>
          <w:shd w:val="clear" w:color="auto" w:fill="auto"/>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（一）政府性基金预算财政拨款支出决算总体情况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lang w:val="en-US" w:eastAsia="zh-CN"/>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年度政府性基金预算财政拨款支出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万元，占本年支出合计的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%。与</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年度相比，政府性基金预算财政拨款支出增加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万元，增长</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%，主要原因是</w:t>
      </w:r>
      <w:r>
        <w:rPr>
          <w:rFonts w:hint="eastAsia" w:ascii="仿宋_GB2312" w:hAnsi="ˎ̥" w:eastAsia="仿宋_GB2312"/>
          <w:color w:val="auto"/>
          <w:sz w:val="32"/>
          <w:szCs w:val="32"/>
          <w:shd w:val="clear" w:color="auto" w:fill="auto"/>
          <w:lang w:val="en-US" w:eastAsia="zh-CN"/>
        </w:rPr>
        <w:t>无此相关资金。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年度政府性基金预算财政拨款支出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万元，主要用于以下方面：（类）支出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%；（类）支出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%；（类）支出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val="en-US" w:eastAsia="zh-CN"/>
        </w:rPr>
        <w:t>主要原因</w:t>
      </w:r>
      <w:r>
        <w:rPr>
          <w:rFonts w:hint="eastAsia" w:ascii="仿宋_GB2312" w:hAnsi="ˎ̥" w:eastAsia="仿宋_GB2312"/>
          <w:color w:val="auto"/>
          <w:sz w:val="32"/>
          <w:szCs w:val="32"/>
          <w:shd w:val="clear" w:color="auto" w:fill="auto"/>
        </w:rPr>
        <w:t>一</w:t>
      </w:r>
      <w:r>
        <w:rPr>
          <w:rFonts w:hint="eastAsia" w:ascii="仿宋_GB2312" w:hAnsi="ˎ̥" w:eastAsia="仿宋_GB2312"/>
          <w:color w:val="auto"/>
          <w:sz w:val="32"/>
          <w:szCs w:val="32"/>
          <w:shd w:val="clear" w:color="auto" w:fill="auto"/>
          <w:lang w:val="en-US" w:eastAsia="zh-CN"/>
        </w:rPr>
        <w:t>是本单位为2024年新增单位，无此相关资金。</w:t>
      </w:r>
    </w:p>
    <w:p>
      <w:pPr>
        <w:keepNext w:val="0"/>
        <w:keepLines w:val="0"/>
        <w:pageBreakBefore w:val="0"/>
        <w:widowControl w:val="0"/>
        <w:kinsoku/>
        <w:wordWrap/>
        <w:overflowPunct/>
        <w:topLinePunct w:val="0"/>
        <w:autoSpaceDE/>
        <w:autoSpaceDN/>
        <w:bidi w:val="0"/>
        <w:adjustRightInd/>
        <w:snapToGrid/>
        <w:spacing w:line="578" w:lineRule="exact"/>
        <w:ind w:firstLine="320" w:firstLineChars="1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根据各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单位实际支出涉及的支出功能分类类级科目填列</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年度政府性基金预算财政拨款支出年初预算为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万元，支出决算为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万元，完成年初预算的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1.（类）（款）（项）。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年初预算为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万元，支出决算为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万元，完成年初预算的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%。决算数大于预算数的主要原因：一</w:t>
      </w:r>
      <w:r>
        <w:rPr>
          <w:rFonts w:hint="eastAsia" w:ascii="仿宋_GB2312" w:hAnsi="ˎ̥" w:eastAsia="仿宋_GB2312"/>
          <w:color w:val="auto"/>
          <w:sz w:val="32"/>
          <w:szCs w:val="32"/>
          <w:shd w:val="clear" w:color="auto" w:fill="auto"/>
          <w:lang w:val="en-US" w:eastAsia="zh-CN"/>
        </w:rPr>
        <w:t>是本单位为2024年新增单位，无此相关资金。</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根据各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单位实际支出涉及的支出功能分类项级科目填列，本部分</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w:t>
      </w:r>
      <w:r>
        <w:rPr>
          <w:rFonts w:hint="eastAsia" w:ascii="仿宋_GB2312" w:hAnsi="ˎ̥" w:eastAsia="仿宋_GB2312"/>
          <w:color w:val="auto"/>
          <w:sz w:val="32"/>
          <w:szCs w:val="32"/>
          <w:shd w:val="clear" w:color="auto" w:fill="auto"/>
          <w:lang w:val="en-US" w:eastAsia="zh-CN"/>
        </w:rPr>
        <w:t>度</w:t>
      </w:r>
      <w:r>
        <w:rPr>
          <w:rFonts w:hint="eastAsia" w:ascii="仿宋_GB2312" w:hAnsi="ˎ̥" w:eastAsia="仿宋_GB2312"/>
          <w:color w:val="auto"/>
          <w:sz w:val="32"/>
          <w:szCs w:val="32"/>
          <w:shd w:val="clear" w:color="auto" w:fill="auto"/>
        </w:rPr>
        <w:t>决算相关数据取自财决公开07表；</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w:t>
      </w:r>
      <w:r>
        <w:rPr>
          <w:rFonts w:hint="eastAsia" w:ascii="仿宋_GB2312" w:hAnsi="ˎ̥" w:eastAsia="仿宋_GB2312"/>
          <w:color w:val="auto"/>
          <w:sz w:val="32"/>
          <w:szCs w:val="32"/>
          <w:shd w:val="clear" w:color="auto" w:fill="auto"/>
          <w:lang w:val="en-US" w:eastAsia="zh-CN"/>
        </w:rPr>
        <w:t>度</w:t>
      </w:r>
      <w:r>
        <w:rPr>
          <w:rFonts w:hint="eastAsia" w:ascii="仿宋_GB2312" w:hAnsi="ˎ̥" w:eastAsia="仿宋_GB2312"/>
          <w:color w:val="auto"/>
          <w:sz w:val="32"/>
          <w:szCs w:val="32"/>
          <w:shd w:val="clear" w:color="auto" w:fill="auto"/>
        </w:rPr>
        <w:t>决算相关数据取自</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lang w:val="en-US" w:eastAsia="zh-CN"/>
        </w:rPr>
        <w:t>年度部门决算报表</w:t>
      </w:r>
      <w:r>
        <w:rPr>
          <w:rFonts w:hint="eastAsia" w:ascii="仿宋_GB2312" w:hAnsi="ˎ̥" w:eastAsia="仿宋_GB2312"/>
          <w:color w:val="auto"/>
          <w:sz w:val="32"/>
          <w:szCs w:val="32"/>
          <w:shd w:val="clear" w:color="auto" w:fill="auto"/>
        </w:rPr>
        <w:t>财决09表《政府性基金预算财政拨款收入支出决算表》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shd w:val="clear" w:color="auto" w:fill="auto"/>
        </w:rPr>
      </w:pPr>
      <w:r>
        <w:rPr>
          <w:rFonts w:hint="eastAsia" w:ascii="黑体" w:hAnsi="黑体" w:eastAsia="黑体" w:cs="黑体"/>
          <w:bCs/>
          <w:color w:val="auto"/>
          <w:sz w:val="32"/>
          <w:szCs w:val="32"/>
          <w:shd w:val="clear" w:color="auto" w:fill="auto"/>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shd w:val="clear" w:color="auto" w:fill="auto"/>
          <w:lang w:val="en-US" w:eastAsia="zh-CN"/>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年度国有资本经营预算财政拨款支出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万元，占本年支出合计的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%。与</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年度相比，国有资本经营预算财政拨款支出增加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万元，增长</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%，主要原因是</w:t>
      </w:r>
      <w:r>
        <w:rPr>
          <w:rFonts w:hint="eastAsia" w:ascii="仿宋_GB2312" w:hAnsi="ˎ̥" w:eastAsia="仿宋_GB2312"/>
          <w:color w:val="auto"/>
          <w:sz w:val="32"/>
          <w:szCs w:val="32"/>
          <w:shd w:val="clear" w:color="auto" w:fill="auto"/>
          <w:lang w:val="en-US" w:eastAsia="zh-CN"/>
        </w:rPr>
        <w:t>无此项经费。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年度国有资本经营预算财政拨款支出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万元，主要用于以下方面：（类）支出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%；（类）支出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（类）支出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%；。主要原因是</w:t>
      </w:r>
      <w:r>
        <w:rPr>
          <w:rFonts w:hint="eastAsia" w:ascii="仿宋_GB2312" w:hAnsi="ˎ̥" w:eastAsia="仿宋_GB2312"/>
          <w:color w:val="auto"/>
          <w:sz w:val="32"/>
          <w:szCs w:val="32"/>
          <w:shd w:val="clear" w:color="auto" w:fill="auto"/>
          <w:lang w:val="en-US" w:eastAsia="zh-CN"/>
        </w:rPr>
        <w:t>无此项经费。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根据各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单位实际支出涉及的支出功能分类类级科目填列</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shd w:val="clear" w:color="auto" w:fill="auto"/>
        </w:rPr>
      </w:pPr>
      <w:r>
        <w:rPr>
          <w:rFonts w:hint="eastAsia" w:ascii="楷体" w:hAnsi="楷体" w:eastAsia="楷体" w:cs="楷体"/>
          <w:color w:val="auto"/>
          <w:sz w:val="32"/>
          <w:szCs w:val="32"/>
          <w:shd w:val="clear" w:color="auto" w:fill="auto"/>
        </w:rPr>
        <w:t>（三）国有资本经营预算财政拨款支出决算具体情况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年度国有资本经营预算财政拨款支出年初预算为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万元，支出决算为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万元，完成年初预算的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shd w:val="clear" w:color="auto" w:fill="auto"/>
        </w:rPr>
      </w:pPr>
      <w:r>
        <w:rPr>
          <w:rFonts w:hint="eastAsia" w:ascii="仿宋_GB2312" w:hAnsi="ˎ̥" w:eastAsia="仿宋_GB2312"/>
          <w:color w:val="auto"/>
          <w:sz w:val="32"/>
          <w:szCs w:val="32"/>
          <w:shd w:val="clear" w:color="auto" w:fill="auto"/>
        </w:rPr>
        <w:t>1.</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类）</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（款）</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（项）。主要原因是</w:t>
      </w:r>
      <w:r>
        <w:rPr>
          <w:rFonts w:hint="eastAsia" w:ascii="仿宋_GB2312" w:hAnsi="ˎ̥" w:eastAsia="仿宋_GB2312"/>
          <w:color w:val="auto"/>
          <w:sz w:val="32"/>
          <w:szCs w:val="32"/>
          <w:shd w:val="clear" w:color="auto" w:fill="auto"/>
          <w:lang w:val="en-US" w:eastAsia="zh-CN"/>
        </w:rPr>
        <w:t>无此项经费。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shd w:val="clear" w:color="auto" w:fill="auto"/>
          <w:lang w:val="en-US" w:eastAsia="zh-CN"/>
        </w:rPr>
      </w:pPr>
      <w:r>
        <w:rPr>
          <w:rFonts w:hint="eastAsia" w:ascii="仿宋_GB2312" w:hAnsi="ˎ̥" w:eastAsia="仿宋_GB2312"/>
          <w:color w:val="auto"/>
          <w:sz w:val="32"/>
          <w:szCs w:val="32"/>
          <w:shd w:val="clear" w:color="auto" w:fill="auto"/>
        </w:rPr>
        <w:t>年初预算为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万元，支出决算为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万元，完成年初预算的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%。决算数大于（小于）预算数的主要原因：</w:t>
      </w:r>
      <w:r>
        <w:rPr>
          <w:rFonts w:hint="eastAsia" w:ascii="仿宋_GB2312" w:hAnsi="ˎ̥" w:eastAsia="仿宋_GB2312"/>
          <w:color w:val="auto"/>
          <w:sz w:val="32"/>
          <w:szCs w:val="32"/>
          <w:shd w:val="clear" w:color="auto" w:fill="auto"/>
          <w:lang w:val="en-US" w:eastAsia="zh-CN"/>
        </w:rPr>
        <w:t>无此项经费。</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根据各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单位实际支出涉及的支出功能分类项级科目填列，本部分</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w:t>
      </w:r>
      <w:r>
        <w:rPr>
          <w:rFonts w:hint="eastAsia" w:ascii="仿宋_GB2312" w:hAnsi="ˎ̥" w:eastAsia="仿宋_GB2312"/>
          <w:color w:val="auto"/>
          <w:sz w:val="32"/>
          <w:szCs w:val="32"/>
          <w:shd w:val="clear" w:color="auto" w:fill="auto"/>
          <w:lang w:val="en-US" w:eastAsia="zh-CN"/>
        </w:rPr>
        <w:t>度</w:t>
      </w:r>
      <w:r>
        <w:rPr>
          <w:rFonts w:hint="eastAsia" w:ascii="仿宋_GB2312" w:hAnsi="ˎ̥" w:eastAsia="仿宋_GB2312"/>
          <w:color w:val="auto"/>
          <w:sz w:val="32"/>
          <w:szCs w:val="32"/>
          <w:shd w:val="clear" w:color="auto" w:fill="auto"/>
        </w:rPr>
        <w:t>决算相关数据取自财决公开08表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shd w:val="clear" w:color="auto" w:fill="auto"/>
        </w:rPr>
      </w:pPr>
      <w:r>
        <w:rPr>
          <w:rFonts w:hint="eastAsia" w:ascii="黑体" w:hAnsi="黑体" w:eastAsia="黑体" w:cs="黑体"/>
          <w:bCs/>
          <w:color w:val="auto"/>
          <w:sz w:val="32"/>
          <w:szCs w:val="32"/>
          <w:shd w:val="clear" w:color="auto" w:fill="auto"/>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eastAsia" w:ascii="楷体" w:hAnsi="楷体" w:eastAsia="楷体" w:cs="楷体"/>
          <w:bCs/>
          <w:color w:val="auto"/>
          <w:sz w:val="32"/>
          <w:szCs w:val="32"/>
          <w:shd w:val="clear" w:color="auto" w:fill="auto"/>
        </w:rPr>
      </w:pPr>
      <w:r>
        <w:rPr>
          <w:rFonts w:hint="eastAsia" w:ascii="楷体" w:hAnsi="楷体" w:eastAsia="楷体" w:cs="楷体"/>
          <w:bCs/>
          <w:color w:val="auto"/>
          <w:sz w:val="32"/>
          <w:szCs w:val="32"/>
          <w:shd w:val="clear" w:color="auto" w:fill="auto"/>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1"/>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年度财政拨款“三公”经费支出预算为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万元，支出决算为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万元，完成预算的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w:t>
      </w:r>
      <w:r>
        <w:rPr>
          <w:rFonts w:ascii="仿宋_GB2312" w:hAnsi="ˎ̥" w:eastAsia="仿宋_GB2312"/>
          <w:color w:val="auto"/>
          <w:sz w:val="32"/>
          <w:szCs w:val="32"/>
          <w:shd w:val="clear" w:color="auto" w:fill="auto"/>
        </w:rPr>
        <w:t>与</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w:t>
      </w:r>
      <w:r>
        <w:rPr>
          <w:rFonts w:ascii="仿宋_GB2312" w:hAnsi="ˎ̥" w:eastAsia="仿宋_GB2312"/>
          <w:color w:val="auto"/>
          <w:sz w:val="32"/>
          <w:szCs w:val="32"/>
          <w:shd w:val="clear" w:color="auto" w:fill="auto"/>
        </w:rPr>
        <w:t>相比，</w:t>
      </w:r>
      <w:r>
        <w:rPr>
          <w:rFonts w:hint="eastAsia" w:ascii="仿宋_GB2312" w:hAnsi="ˎ̥" w:eastAsia="仿宋_GB2312"/>
          <w:color w:val="auto"/>
          <w:sz w:val="32"/>
          <w:szCs w:val="32"/>
          <w:shd w:val="clear" w:color="auto" w:fill="auto"/>
        </w:rPr>
        <w:t>“三公”经费支出增加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ascii="仿宋_GB2312" w:hAnsi="ˎ̥" w:eastAsia="仿宋_GB2312"/>
          <w:color w:val="auto"/>
          <w:sz w:val="32"/>
          <w:szCs w:val="32"/>
          <w:shd w:val="clear" w:color="auto" w:fill="auto"/>
        </w:rPr>
        <w:t>，增长</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w:t>
      </w:r>
      <w:r>
        <w:rPr>
          <w:rFonts w:ascii="仿宋_GB2312" w:hAnsi="ˎ̥" w:eastAsia="仿宋_GB2312"/>
          <w:color w:val="auto"/>
          <w:sz w:val="32"/>
          <w:szCs w:val="32"/>
          <w:shd w:val="clear" w:color="auto" w:fill="auto"/>
        </w:rPr>
        <w:t>主要原因是</w:t>
      </w:r>
      <w:r>
        <w:rPr>
          <w:rFonts w:hint="eastAsia" w:ascii="仿宋_GB2312" w:hAnsi="ˎ̥" w:eastAsia="仿宋_GB2312"/>
          <w:color w:val="auto"/>
          <w:sz w:val="32"/>
          <w:szCs w:val="32"/>
          <w:shd w:val="clear" w:color="auto" w:fill="auto"/>
          <w:lang w:val="en-US" w:eastAsia="zh-CN"/>
        </w:rPr>
        <w:t>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auto"/>
          <w:sz w:val="32"/>
          <w:szCs w:val="32"/>
          <w:shd w:val="clear" w:color="auto" w:fill="auto"/>
        </w:rPr>
      </w:pPr>
      <w:r>
        <w:rPr>
          <w:rFonts w:hint="eastAsia" w:ascii="仿宋_GB2312" w:hAnsi="ˎ̥" w:eastAsia="仿宋_GB2312"/>
          <w:b/>
          <w:color w:val="auto"/>
          <w:sz w:val="32"/>
          <w:szCs w:val="32"/>
          <w:shd w:val="clear" w:color="auto" w:fill="auto"/>
        </w:rPr>
        <w:t xml:space="preserve">  </w:t>
      </w:r>
      <w:r>
        <w:rPr>
          <w:rFonts w:hint="eastAsia" w:ascii="楷体" w:hAnsi="楷体" w:eastAsia="楷体" w:cs="楷体"/>
          <w:color w:val="auto"/>
          <w:sz w:val="32"/>
          <w:szCs w:val="32"/>
          <w:shd w:val="clear" w:color="auto" w:fill="auto"/>
        </w:rPr>
        <w:t>（二）财政拨款“三公”经费支出决算具体情况说明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年度财政拨款“三公”经费支出决算中，因公出国（境）费支出决算</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%；公务用车购置及运行维护费支出决算</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%；公务接待费支出决算</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b/>
          <w:color w:val="auto"/>
          <w:sz w:val="32"/>
          <w:szCs w:val="32"/>
          <w:shd w:val="clear" w:color="auto" w:fill="auto"/>
        </w:rPr>
        <w:t>1.因公出国（境）费</w:t>
      </w:r>
      <w:r>
        <w:rPr>
          <w:rFonts w:hint="eastAsia" w:ascii="仿宋_GB2312" w:hAnsi="ˎ̥" w:eastAsia="仿宋_GB2312"/>
          <w:color w:val="auto"/>
          <w:sz w:val="32"/>
          <w:szCs w:val="32"/>
          <w:shd w:val="clear" w:color="auto" w:fill="auto"/>
        </w:rPr>
        <w:t>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万元。全年安排因公出国（境）团组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个，因公出国（境）</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人次。开支内容包括：</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因公出国（境）费支出决算</w:t>
      </w:r>
      <w:r>
        <w:rPr>
          <w:rFonts w:hint="eastAsia" w:ascii="仿宋_GB2312" w:hAnsi="ˎ̥" w:eastAsia="仿宋_GB2312"/>
          <w:color w:val="auto"/>
          <w:sz w:val="32"/>
          <w:szCs w:val="32"/>
          <w:shd w:val="clear" w:color="auto" w:fill="auto"/>
          <w:lang w:val="en-US" w:eastAsia="zh-CN"/>
        </w:rPr>
        <w:t>数</w:t>
      </w:r>
      <w:r>
        <w:rPr>
          <w:rFonts w:hint="eastAsia" w:ascii="仿宋_GB2312" w:hAnsi="ˎ̥" w:eastAsia="仿宋_GB2312"/>
          <w:color w:val="auto"/>
          <w:sz w:val="32"/>
          <w:szCs w:val="32"/>
          <w:shd w:val="clear" w:color="auto" w:fill="auto"/>
        </w:rPr>
        <w:t>比预算数增加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完成预算的0</w:t>
      </w:r>
      <w:r>
        <w:rPr>
          <w:rFonts w:hint="default" w:ascii="仿宋_GB2312" w:hAnsi="ˎ̥" w:eastAsia="仿宋_GB2312"/>
          <w:color w:val="auto"/>
          <w:sz w:val="32"/>
          <w:szCs w:val="32"/>
          <w:shd w:val="clear" w:color="auto" w:fill="auto"/>
          <w:lang w:val="en-US" w:eastAsia="zh-CN"/>
        </w:rPr>
        <w:t>%</w:t>
      </w:r>
      <w:r>
        <w:rPr>
          <w:rFonts w:hint="eastAsia" w:ascii="仿宋_GB2312" w:hAnsi="ˎ̥" w:eastAsia="仿宋_GB2312"/>
          <w:color w:val="auto"/>
          <w:sz w:val="32"/>
          <w:szCs w:val="32"/>
          <w:shd w:val="clear" w:color="auto" w:fill="auto"/>
        </w:rPr>
        <w:t>。与</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w:t>
      </w:r>
      <w:r>
        <w:rPr>
          <w:rFonts w:ascii="仿宋_GB2312" w:hAnsi="ˎ̥" w:eastAsia="仿宋_GB2312"/>
          <w:color w:val="auto"/>
          <w:sz w:val="32"/>
          <w:szCs w:val="32"/>
          <w:shd w:val="clear" w:color="auto" w:fill="auto"/>
        </w:rPr>
        <w:t>相比，</w:t>
      </w:r>
      <w:r>
        <w:rPr>
          <w:rFonts w:hint="eastAsia" w:ascii="仿宋_GB2312" w:hAnsi="ˎ̥" w:eastAsia="仿宋_GB2312"/>
          <w:color w:val="auto"/>
          <w:sz w:val="32"/>
          <w:szCs w:val="32"/>
          <w:shd w:val="clear" w:color="auto" w:fill="auto"/>
        </w:rPr>
        <w:t>因公出国（境）费支出增加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ascii="仿宋_GB2312" w:hAnsi="ˎ̥" w:eastAsia="仿宋_GB2312"/>
          <w:color w:val="auto"/>
          <w:sz w:val="32"/>
          <w:szCs w:val="32"/>
          <w:shd w:val="clear" w:color="auto" w:fill="auto"/>
        </w:rPr>
        <w:t>，增长</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%，主要原因是</w:t>
      </w:r>
      <w:r>
        <w:rPr>
          <w:rFonts w:hint="eastAsia" w:ascii="仿宋_GB2312" w:hAnsi="ˎ̥" w:eastAsia="仿宋_GB2312"/>
          <w:color w:val="auto"/>
          <w:sz w:val="32"/>
          <w:szCs w:val="32"/>
          <w:shd w:val="clear" w:color="auto" w:fill="auto"/>
          <w:lang w:val="en-US" w:eastAsia="zh-CN"/>
        </w:rPr>
        <w:t>未安排相关资金</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eastAsia" w:ascii="仿宋_GB2312" w:hAnsi="ˎ̥" w:eastAsia="仿宋_GB2312"/>
          <w:color w:val="auto"/>
          <w:sz w:val="32"/>
          <w:szCs w:val="32"/>
          <w:shd w:val="clear" w:color="auto" w:fill="auto"/>
        </w:rPr>
      </w:pPr>
      <w:r>
        <w:rPr>
          <w:rFonts w:hint="eastAsia" w:ascii="仿宋_GB2312" w:hAnsi="ˎ̥" w:eastAsia="仿宋_GB2312"/>
          <w:b/>
          <w:color w:val="auto"/>
          <w:sz w:val="32"/>
          <w:szCs w:val="32"/>
          <w:shd w:val="clear" w:color="auto" w:fill="auto"/>
        </w:rPr>
        <w:t xml:space="preserve"> 2.公务用车购置及运行维护费</w:t>
      </w:r>
      <w:r>
        <w:rPr>
          <w:rFonts w:hint="eastAsia" w:ascii="仿宋_GB2312" w:hAnsi="ˎ̥" w:eastAsia="仿宋_GB2312"/>
          <w:b w:val="0"/>
          <w:bCs/>
          <w:color w:val="auto"/>
          <w:sz w:val="32"/>
          <w:szCs w:val="32"/>
          <w:shd w:val="clear" w:color="auto" w:fill="auto"/>
        </w:rPr>
        <w:t>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b/>
          <w:color w:val="auto"/>
          <w:sz w:val="32"/>
          <w:szCs w:val="32"/>
          <w:shd w:val="clear" w:color="auto" w:fill="auto"/>
        </w:rPr>
        <w:t>公务用车购置</w:t>
      </w:r>
      <w:r>
        <w:rPr>
          <w:rFonts w:hint="eastAsia" w:ascii="仿宋_GB2312" w:hAnsi="ˎ̥" w:eastAsia="仿宋_GB2312"/>
          <w:b w:val="0"/>
          <w:bCs/>
          <w:color w:val="auto"/>
          <w:sz w:val="32"/>
          <w:szCs w:val="32"/>
          <w:shd w:val="clear" w:color="auto" w:fill="auto"/>
        </w:rPr>
        <w:t>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万元，全年购置公务用车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年末公务用车保有量</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b/>
          <w:color w:val="auto"/>
          <w:sz w:val="32"/>
          <w:szCs w:val="32"/>
          <w:shd w:val="clear" w:color="auto" w:fill="auto"/>
        </w:rPr>
        <w:t>公务用车运行维护费</w:t>
      </w:r>
      <w:r>
        <w:rPr>
          <w:rFonts w:hint="eastAsia" w:ascii="仿宋_GB2312" w:hAnsi="ˎ̥" w:eastAsia="仿宋_GB2312"/>
          <w:color w:val="auto"/>
          <w:sz w:val="32"/>
          <w:szCs w:val="32"/>
          <w:shd w:val="clear" w:color="auto" w:fill="auto"/>
        </w:rPr>
        <w:t>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仿宋_GB2312" w:hAnsi="ˎ̥" w:eastAsia="仿宋_GB2312"/>
          <w:bCs/>
          <w:color w:val="auto"/>
          <w:sz w:val="32"/>
          <w:szCs w:val="32"/>
          <w:shd w:val="clear" w:color="auto" w:fill="auto"/>
        </w:rPr>
        <w:t>公务用车购置及运行维护费支出决算数</w:t>
      </w:r>
      <w:r>
        <w:rPr>
          <w:rFonts w:hint="eastAsia" w:ascii="仿宋_GB2312" w:hAnsi="ˎ̥" w:eastAsia="仿宋_GB2312"/>
          <w:color w:val="auto"/>
          <w:sz w:val="32"/>
          <w:szCs w:val="32"/>
          <w:shd w:val="clear" w:color="auto" w:fill="auto"/>
        </w:rPr>
        <w:t>比预算数增加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完成预算的0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val="en-US" w:eastAsia="zh-CN"/>
        </w:rPr>
        <w:t>。</w:t>
      </w:r>
      <w:r>
        <w:rPr>
          <w:rFonts w:hint="eastAsia" w:ascii="仿宋_GB2312" w:hAnsi="ˎ̥" w:eastAsia="仿宋_GB2312"/>
          <w:color w:val="auto"/>
          <w:sz w:val="32"/>
          <w:szCs w:val="32"/>
          <w:shd w:val="clear" w:color="auto" w:fill="auto"/>
        </w:rPr>
        <w:t>与</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w:t>
      </w:r>
      <w:r>
        <w:rPr>
          <w:rFonts w:ascii="仿宋_GB2312" w:hAnsi="ˎ̥" w:eastAsia="仿宋_GB2312"/>
          <w:color w:val="auto"/>
          <w:sz w:val="32"/>
          <w:szCs w:val="32"/>
          <w:shd w:val="clear" w:color="auto" w:fill="auto"/>
        </w:rPr>
        <w:t>相比，</w:t>
      </w:r>
      <w:r>
        <w:rPr>
          <w:rFonts w:hint="eastAsia" w:ascii="仿宋_GB2312" w:hAnsi="ˎ̥" w:eastAsia="仿宋_GB2312"/>
          <w:bCs/>
          <w:color w:val="auto"/>
          <w:sz w:val="32"/>
          <w:szCs w:val="32"/>
          <w:shd w:val="clear" w:color="auto" w:fill="auto"/>
        </w:rPr>
        <w:t>公务用车购置及运行维护费</w:t>
      </w:r>
      <w:r>
        <w:rPr>
          <w:rFonts w:hint="eastAsia" w:ascii="仿宋_GB2312" w:hAnsi="ˎ̥" w:eastAsia="仿宋_GB2312"/>
          <w:color w:val="auto"/>
          <w:sz w:val="32"/>
          <w:szCs w:val="32"/>
          <w:shd w:val="clear" w:color="auto" w:fill="auto"/>
        </w:rPr>
        <w:t>支出增加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ascii="仿宋_GB2312" w:hAnsi="ˎ̥" w:eastAsia="仿宋_GB2312"/>
          <w:color w:val="auto"/>
          <w:sz w:val="32"/>
          <w:szCs w:val="32"/>
          <w:shd w:val="clear" w:color="auto" w:fill="auto"/>
        </w:rPr>
        <w:t>，增长</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%，主要原因是一</w:t>
      </w:r>
      <w:r>
        <w:rPr>
          <w:rFonts w:hint="eastAsia" w:ascii="仿宋_GB2312" w:hAnsi="ˎ̥" w:eastAsia="仿宋_GB2312"/>
          <w:color w:val="auto"/>
          <w:sz w:val="32"/>
          <w:szCs w:val="32"/>
          <w:shd w:val="clear" w:color="auto" w:fill="auto"/>
          <w:lang w:val="en-US" w:eastAsia="zh-CN"/>
        </w:rPr>
        <w:t>是本单位为2024年新增单位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321" w:firstLineChars="100"/>
        <w:textAlignment w:val="auto"/>
        <w:rPr>
          <w:rFonts w:hint="eastAsia" w:ascii="仿宋_GB2312" w:hAnsi="ˎ̥" w:eastAsia="仿宋_GB2312"/>
          <w:color w:val="auto"/>
          <w:sz w:val="32"/>
          <w:szCs w:val="32"/>
          <w:shd w:val="clear" w:color="auto" w:fill="auto"/>
        </w:rPr>
      </w:pPr>
      <w:r>
        <w:rPr>
          <w:rFonts w:hint="eastAsia" w:ascii="仿宋_GB2312" w:hAnsi="ˎ̥" w:eastAsia="仿宋_GB2312"/>
          <w:b/>
          <w:color w:val="auto"/>
          <w:sz w:val="32"/>
          <w:szCs w:val="32"/>
          <w:shd w:val="clear" w:color="auto" w:fill="auto"/>
        </w:rPr>
        <w:t xml:space="preserve"> 3.公务接待费</w:t>
      </w:r>
      <w:r>
        <w:rPr>
          <w:rFonts w:hint="eastAsia" w:ascii="仿宋_GB2312" w:hAnsi="ˎ̥" w:eastAsia="仿宋_GB2312"/>
          <w:b w:val="0"/>
          <w:bCs/>
          <w:color w:val="auto"/>
          <w:sz w:val="32"/>
          <w:szCs w:val="32"/>
          <w:shd w:val="clear" w:color="auto" w:fill="auto"/>
        </w:rPr>
        <w:t>支出</w:t>
      </w:r>
      <w:r>
        <w:rPr>
          <w:rFonts w:hint="default" w:ascii="仿宋_GB2312" w:hAnsi="ˎ̥" w:eastAsia="仿宋_GB2312"/>
          <w:color w:val="auto"/>
          <w:sz w:val="32"/>
          <w:szCs w:val="32"/>
          <w:shd w:val="clear" w:color="auto" w:fill="auto"/>
          <w:lang w:val="en-US"/>
        </w:rPr>
        <w:t>0.00</w:t>
      </w:r>
      <w:r>
        <w:rPr>
          <w:rFonts w:hint="eastAsia" w:ascii="仿宋_GB2312" w:hAnsi="ˎ̥" w:eastAsia="仿宋_GB2312"/>
          <w:color w:val="auto"/>
          <w:sz w:val="32"/>
          <w:szCs w:val="32"/>
          <w:shd w:val="clear" w:color="auto" w:fill="auto"/>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b/>
          <w:color w:val="auto"/>
          <w:sz w:val="32"/>
          <w:szCs w:val="32"/>
          <w:shd w:val="clear" w:color="auto" w:fill="auto"/>
        </w:rPr>
        <w:t>国内接待费</w:t>
      </w:r>
      <w:r>
        <w:rPr>
          <w:rFonts w:hint="eastAsia" w:ascii="仿宋_GB2312" w:hAnsi="ˎ̥" w:eastAsia="仿宋_GB2312"/>
          <w:color w:val="auto"/>
          <w:sz w:val="32"/>
          <w:szCs w:val="32"/>
          <w:shd w:val="clear" w:color="auto" w:fill="auto"/>
        </w:rPr>
        <w:t>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万元，国内公务接待</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批次，接待</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人次。</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b/>
          <w:bCs/>
          <w:color w:val="auto"/>
          <w:sz w:val="32"/>
          <w:szCs w:val="32"/>
          <w:shd w:val="clear" w:color="auto" w:fill="auto"/>
        </w:rPr>
        <w:t>国（境）外接待费</w:t>
      </w:r>
      <w:r>
        <w:rPr>
          <w:rFonts w:hint="eastAsia" w:ascii="仿宋_GB2312" w:hAnsi="ˎ̥" w:eastAsia="仿宋_GB2312"/>
          <w:color w:val="auto"/>
          <w:sz w:val="32"/>
          <w:szCs w:val="32"/>
          <w:shd w:val="clear" w:color="auto" w:fill="auto"/>
        </w:rPr>
        <w:t>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万元，国（境）外公务接待</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批次，接待</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人次。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公务接待费支出决算数比预算数增加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完成预算的0</w:t>
      </w:r>
      <w:r>
        <w:rPr>
          <w:rFonts w:hint="eastAsia" w:ascii="仿宋_GB2312" w:hAnsi="ˎ̥" w:eastAsia="仿宋_GB2312"/>
          <w:color w:val="auto"/>
          <w:sz w:val="32"/>
          <w:szCs w:val="32"/>
          <w:shd w:val="clear" w:color="auto" w:fill="auto"/>
        </w:rPr>
        <w:t>%。与</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w:t>
      </w:r>
      <w:r>
        <w:rPr>
          <w:rFonts w:ascii="仿宋_GB2312" w:hAnsi="ˎ̥" w:eastAsia="仿宋_GB2312"/>
          <w:color w:val="auto"/>
          <w:sz w:val="32"/>
          <w:szCs w:val="32"/>
          <w:shd w:val="clear" w:color="auto" w:fill="auto"/>
        </w:rPr>
        <w:t>相比，</w:t>
      </w:r>
      <w:r>
        <w:rPr>
          <w:rFonts w:hint="eastAsia" w:ascii="仿宋_GB2312" w:hAnsi="ˎ̥" w:eastAsia="仿宋_GB2312"/>
          <w:bCs/>
          <w:color w:val="auto"/>
          <w:sz w:val="32"/>
          <w:szCs w:val="32"/>
          <w:shd w:val="clear" w:color="auto" w:fill="auto"/>
        </w:rPr>
        <w:t>公务接待费</w:t>
      </w:r>
      <w:r>
        <w:rPr>
          <w:rFonts w:hint="eastAsia" w:ascii="仿宋_GB2312" w:hAnsi="ˎ̥" w:eastAsia="仿宋_GB2312"/>
          <w:color w:val="auto"/>
          <w:sz w:val="32"/>
          <w:szCs w:val="32"/>
          <w:shd w:val="clear" w:color="auto" w:fill="auto"/>
        </w:rPr>
        <w:t>支出增加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ascii="仿宋_GB2312" w:hAnsi="ˎ̥" w:eastAsia="仿宋_GB2312"/>
          <w:color w:val="auto"/>
          <w:sz w:val="32"/>
          <w:szCs w:val="32"/>
          <w:shd w:val="clear" w:color="auto" w:fill="auto"/>
        </w:rPr>
        <w:t>，增长</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%，一</w:t>
      </w:r>
      <w:r>
        <w:rPr>
          <w:rFonts w:hint="eastAsia" w:ascii="仿宋_GB2312" w:hAnsi="ˎ̥" w:eastAsia="仿宋_GB2312"/>
          <w:color w:val="auto"/>
          <w:sz w:val="32"/>
          <w:szCs w:val="32"/>
          <w:shd w:val="clear" w:color="auto" w:fill="auto"/>
          <w:lang w:val="en-US" w:eastAsia="zh-CN"/>
        </w:rPr>
        <w:t>是本单位为2024年新增单位</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年度“三公”经费预算数、决算数可取自财决公开09表，出国团组数、出国人次，公务用车购置数、公务用车保有量，接待团组数、接待人次可取自部门决算报表F03表《机构运行信息表》，</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年度相关</w:t>
      </w:r>
      <w:r>
        <w:rPr>
          <w:rFonts w:ascii="仿宋_GB2312" w:hAnsi="ˎ̥" w:eastAsia="仿宋_GB2312"/>
          <w:color w:val="auto"/>
          <w:sz w:val="32"/>
          <w:szCs w:val="32"/>
          <w:shd w:val="clear" w:color="auto" w:fill="auto"/>
        </w:rPr>
        <w:t>数据</w:t>
      </w:r>
      <w:r>
        <w:rPr>
          <w:rFonts w:hint="eastAsia" w:ascii="仿宋_GB2312" w:hAnsi="ˎ̥" w:eastAsia="仿宋_GB2312"/>
          <w:color w:val="auto"/>
          <w:sz w:val="32"/>
          <w:szCs w:val="32"/>
          <w:shd w:val="clear" w:color="auto" w:fill="auto"/>
        </w:rPr>
        <w:t>可取自</w:t>
      </w:r>
      <w:r>
        <w:rPr>
          <w:rFonts w:hint="default" w:ascii="仿宋_GB2312" w:hAnsi="ˎ̥" w:eastAsia="仿宋_GB2312"/>
          <w:color w:val="auto"/>
          <w:sz w:val="32"/>
          <w:szCs w:val="32"/>
          <w:shd w:val="clear" w:color="auto" w:fill="auto"/>
          <w:lang w:val="en-US"/>
        </w:rPr>
        <w:t>2023</w:t>
      </w:r>
      <w:r>
        <w:rPr>
          <w:rFonts w:hint="eastAsia" w:ascii="仿宋_GB2312" w:hAnsi="ˎ̥" w:eastAsia="仿宋_GB2312"/>
          <w:color w:val="auto"/>
          <w:sz w:val="32"/>
          <w:szCs w:val="32"/>
          <w:shd w:val="clear" w:color="auto" w:fill="auto"/>
        </w:rPr>
        <w:t>年度</w:t>
      </w:r>
      <w:r>
        <w:rPr>
          <w:rFonts w:ascii="仿宋_GB2312" w:hAnsi="ˎ̥" w:eastAsia="仿宋_GB2312"/>
          <w:color w:val="auto"/>
          <w:sz w:val="32"/>
          <w:szCs w:val="32"/>
          <w:shd w:val="clear" w:color="auto" w:fill="auto"/>
        </w:rPr>
        <w:t>部门决算报表</w:t>
      </w:r>
      <w:r>
        <w:rPr>
          <w:rFonts w:hint="eastAsia" w:ascii="仿宋_GB2312" w:hAnsi="ˎ̥" w:eastAsia="仿宋_GB2312"/>
          <w:color w:val="auto"/>
          <w:sz w:val="32"/>
          <w:szCs w:val="32"/>
          <w:shd w:val="clear" w:color="auto" w:fill="auto"/>
        </w:rPr>
        <w:t>F03表《机构</w:t>
      </w:r>
      <w:r>
        <w:rPr>
          <w:rFonts w:ascii="仿宋_GB2312" w:hAnsi="ˎ̥" w:eastAsia="仿宋_GB2312"/>
          <w:color w:val="auto"/>
          <w:sz w:val="32"/>
          <w:szCs w:val="32"/>
          <w:shd w:val="clear" w:color="auto" w:fill="auto"/>
        </w:rPr>
        <w:t>运行信息表》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shd w:val="clear" w:color="auto" w:fill="auto"/>
        </w:rPr>
      </w:pPr>
      <w:r>
        <w:rPr>
          <w:rFonts w:hint="eastAsia" w:ascii="黑体" w:hAnsi="黑体" w:eastAsia="黑体" w:cs="黑体"/>
          <w:bCs/>
          <w:color w:val="auto"/>
          <w:sz w:val="32"/>
          <w:szCs w:val="32"/>
          <w:shd w:val="clear" w:color="auto" w:fill="auto"/>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shd w:val="clear" w:color="auto" w:fill="auto"/>
        </w:rPr>
      </w:pPr>
      <w:r>
        <w:rPr>
          <w:rFonts w:hint="eastAsia" w:ascii="楷体" w:hAnsi="楷体" w:eastAsia="楷体" w:cs="楷体"/>
          <w:bCs/>
          <w:color w:val="auto"/>
          <w:sz w:val="32"/>
          <w:szCs w:val="32"/>
          <w:shd w:val="clear" w:color="auto" w:fill="auto"/>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rPr>
        <w:t>根据财政预算绩效管理要求，可按照如下格式说明：根据预算管理要求，我部门（单位）组织对</w:t>
      </w:r>
      <w:r>
        <w:rPr>
          <w:rFonts w:hint="default" w:ascii="仿宋_GB2312" w:eastAsia="仿宋_GB2312"/>
          <w:color w:val="auto"/>
          <w:sz w:val="32"/>
          <w:szCs w:val="32"/>
          <w:shd w:val="clear" w:color="auto" w:fill="auto"/>
          <w:lang w:val="en-US"/>
        </w:rPr>
        <w:t>2024</w:t>
      </w:r>
      <w:r>
        <w:rPr>
          <w:rFonts w:hint="eastAsia" w:ascii="仿宋_GB2312" w:eastAsia="仿宋_GB2312"/>
          <w:color w:val="auto"/>
          <w:sz w:val="32"/>
          <w:szCs w:val="32"/>
          <w:shd w:val="clear" w:color="auto" w:fill="auto"/>
        </w:rPr>
        <w:t>年度一般公共预算项目支出全面开展绩效自评</w:t>
      </w:r>
      <w:r>
        <w:rPr>
          <w:rFonts w:hint="default" w:ascii="仿宋_GB2312" w:eastAsia="仿宋_GB2312"/>
          <w:color w:val="auto"/>
          <w:sz w:val="32"/>
          <w:szCs w:val="32"/>
          <w:shd w:val="clear" w:color="auto" w:fill="auto"/>
          <w:lang w:val="en-US"/>
        </w:rPr>
        <w:t>,</w:t>
      </w:r>
      <w:r>
        <w:rPr>
          <w:rFonts w:hint="eastAsia" w:ascii="仿宋_GB2312" w:eastAsia="仿宋_GB2312"/>
          <w:color w:val="auto"/>
          <w:sz w:val="32"/>
          <w:szCs w:val="32"/>
          <w:shd w:val="clear" w:color="auto" w:fill="auto"/>
          <w:lang w:val="en-US" w:eastAsia="zh-CN"/>
        </w:rPr>
        <w:t>共涉及资金0万元，占一般公共预算项目支出总额的0%</w:t>
      </w:r>
      <w:r>
        <w:rPr>
          <w:rFonts w:hint="eastAsia" w:ascii="仿宋_GB2312" w:eastAsia="仿宋_GB2312"/>
          <w:color w:val="auto"/>
          <w:sz w:val="32"/>
          <w:szCs w:val="32"/>
          <w:shd w:val="clear" w:color="auto" w:fill="auto"/>
        </w:rPr>
        <w:t>。</w:t>
      </w:r>
      <w:r>
        <w:rPr>
          <w:rFonts w:hint="eastAsia" w:ascii="仿宋_GB2312" w:eastAsia="仿宋_GB2312"/>
          <w:color w:val="auto"/>
          <w:sz w:val="32"/>
          <w:szCs w:val="32"/>
          <w:shd w:val="clear" w:color="auto" w:fill="auto"/>
          <w:lang w:bidi="ar"/>
        </w:rPr>
        <w:t>组织对</w:t>
      </w:r>
      <w:r>
        <w:rPr>
          <w:rFonts w:hint="default" w:ascii="仿宋_GB2312" w:eastAsia="仿宋_GB2312"/>
          <w:color w:val="auto"/>
          <w:sz w:val="32"/>
          <w:szCs w:val="32"/>
          <w:shd w:val="clear" w:color="auto" w:fill="auto"/>
          <w:lang w:val="en-US" w:bidi="ar"/>
        </w:rPr>
        <w:t>2024</w:t>
      </w:r>
      <w:r>
        <w:rPr>
          <w:rFonts w:hint="eastAsia" w:ascii="仿宋_GB2312" w:eastAsia="仿宋_GB2312"/>
          <w:color w:val="auto"/>
          <w:sz w:val="32"/>
          <w:szCs w:val="32"/>
          <w:shd w:val="clear" w:color="auto" w:fill="auto"/>
          <w:lang w:bidi="ar"/>
        </w:rPr>
        <w:t>年度</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个政府性基金预算项目开展绩效自评，共涉及资金</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万元，占政府性基金预算项目支出总额的</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%。组织对</w:t>
      </w:r>
      <w:r>
        <w:rPr>
          <w:rFonts w:hint="default" w:ascii="仿宋_GB2312" w:eastAsia="仿宋_GB2312"/>
          <w:color w:val="auto"/>
          <w:sz w:val="32"/>
          <w:szCs w:val="32"/>
          <w:shd w:val="clear" w:color="auto" w:fill="auto"/>
          <w:lang w:val="en-US" w:bidi="ar"/>
        </w:rPr>
        <w:t>2024</w:t>
      </w:r>
      <w:r>
        <w:rPr>
          <w:rFonts w:hint="eastAsia" w:ascii="仿宋_GB2312" w:eastAsia="仿宋_GB2312"/>
          <w:color w:val="auto"/>
          <w:sz w:val="32"/>
          <w:szCs w:val="32"/>
          <w:shd w:val="clear" w:color="auto" w:fill="auto"/>
          <w:lang w:bidi="ar"/>
        </w:rPr>
        <w:t>年度</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个国有资本经营预算项目开展绩效自评，共涉及资金</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万元，占国有资本经营预算项目支出总额的</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rPr>
        <w:t>共组织对“</w:t>
      </w:r>
      <w:r>
        <w:rPr>
          <w:rFonts w:hint="eastAsia" w:ascii="仿宋_GB2312" w:eastAsia="仿宋_GB2312"/>
          <w:color w:val="auto"/>
          <w:sz w:val="32"/>
          <w:szCs w:val="32"/>
          <w:shd w:val="clear" w:color="auto" w:fill="auto"/>
          <w:lang w:val="en-US" w:eastAsia="zh-CN"/>
        </w:rPr>
        <w:t>0</w:t>
      </w:r>
      <w:r>
        <w:rPr>
          <w:rFonts w:hint="eastAsia" w:ascii="仿宋_GB2312" w:eastAsia="仿宋_GB2312"/>
          <w:color w:val="auto"/>
          <w:sz w:val="32"/>
          <w:szCs w:val="32"/>
          <w:shd w:val="clear" w:color="auto" w:fill="auto"/>
        </w:rPr>
        <w:t>”等</w:t>
      </w:r>
      <w:r>
        <w:rPr>
          <w:rFonts w:hint="eastAsia" w:ascii="仿宋_GB2312" w:eastAsia="仿宋_GB2312"/>
          <w:color w:val="auto"/>
          <w:sz w:val="32"/>
          <w:szCs w:val="32"/>
          <w:shd w:val="clear" w:color="auto" w:fill="auto"/>
          <w:lang w:val="en-US" w:eastAsia="zh-CN"/>
        </w:rPr>
        <w:t>0</w:t>
      </w:r>
      <w:r>
        <w:rPr>
          <w:rFonts w:hint="eastAsia" w:ascii="仿宋_GB2312" w:eastAsia="仿宋_GB2312"/>
          <w:color w:val="auto"/>
          <w:sz w:val="32"/>
          <w:szCs w:val="32"/>
          <w:shd w:val="clear" w:color="auto" w:fill="auto"/>
        </w:rPr>
        <w:t>个项目开展了部门评价，</w:t>
      </w:r>
      <w:r>
        <w:rPr>
          <w:rFonts w:hint="eastAsia" w:ascii="仿宋_GB2312" w:eastAsia="仿宋_GB2312"/>
          <w:color w:val="auto"/>
          <w:sz w:val="32"/>
          <w:szCs w:val="32"/>
          <w:shd w:val="clear" w:color="auto" w:fill="auto"/>
          <w:lang w:bidi="ar"/>
        </w:rPr>
        <w:t>涉及一般公共预算支出</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万元，政府性基金预算支出</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万元，国有资本经营预算支出</w:t>
      </w:r>
      <w:r>
        <w:rPr>
          <w:rFonts w:hint="eastAsia" w:ascii="仿宋_GB2312" w:eastAsia="仿宋_GB2312"/>
          <w:color w:val="auto"/>
          <w:sz w:val="32"/>
          <w:szCs w:val="32"/>
          <w:shd w:val="clear" w:color="auto" w:fill="auto"/>
          <w:lang w:val="en-US" w:eastAsia="zh-CN" w:bidi="ar"/>
        </w:rPr>
        <w:t>0</w:t>
      </w:r>
      <w:r>
        <w:rPr>
          <w:rFonts w:hint="eastAsia" w:ascii="仿宋_GB2312" w:eastAsia="仿宋_GB2312"/>
          <w:color w:val="auto"/>
          <w:sz w:val="32"/>
          <w:szCs w:val="32"/>
          <w:shd w:val="clear" w:color="auto" w:fill="auto"/>
          <w:lang w:bidi="ar"/>
        </w:rPr>
        <w:t>万元。</w:t>
      </w:r>
      <w:r>
        <w:rPr>
          <w:rFonts w:hint="eastAsia" w:ascii="仿宋_GB2312" w:eastAsia="仿宋_GB2312"/>
          <w:color w:val="auto"/>
          <w:sz w:val="32"/>
          <w:szCs w:val="32"/>
          <w:shd w:val="clear" w:color="auto" w:fill="auto"/>
        </w:rPr>
        <w:t>从评价情况来看，</w:t>
      </w:r>
      <w:r>
        <w:rPr>
          <w:rFonts w:hint="eastAsia" w:ascii="仿宋_GB2312" w:eastAsia="仿宋_GB2312"/>
          <w:color w:val="auto"/>
          <w:sz w:val="32"/>
          <w:szCs w:val="32"/>
          <w:shd w:val="clear" w:color="auto" w:fill="auto"/>
          <w:lang w:val="en-US" w:eastAsia="zh-CN"/>
        </w:rPr>
        <w:t>未开展此项工作，具体原因：一是</w:t>
      </w:r>
      <w:r>
        <w:rPr>
          <w:rFonts w:hint="eastAsia" w:ascii="仿宋_GB2312" w:hAnsi="ˎ̥" w:eastAsia="仿宋_GB2312"/>
          <w:color w:val="auto"/>
          <w:sz w:val="32"/>
          <w:szCs w:val="32"/>
          <w:shd w:val="clear" w:color="auto" w:fill="auto"/>
          <w:lang w:val="en-US" w:eastAsia="zh-CN"/>
        </w:rPr>
        <w:t>本单位为2024年新增单位，未开展此项工作。</w:t>
      </w:r>
      <w:r>
        <w:rPr>
          <w:rFonts w:hint="eastAsia" w:ascii="仿宋_GB2312" w:eastAsia="仿宋_GB2312"/>
          <w:color w:val="auto"/>
          <w:sz w:val="32"/>
          <w:szCs w:val="32"/>
          <w:shd w:val="clear" w:color="auto" w:fill="auto"/>
        </w:rPr>
        <w:t>（预算部门如有，请对预算绩效评价情况进行简单说明；没有，则简要说明本年没有进行相关工作及理由。部门所属单位不需填写此项）。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bCs/>
          <w:color w:val="auto"/>
          <w:sz w:val="32"/>
          <w:szCs w:val="32"/>
          <w:shd w:val="clear" w:color="auto" w:fill="auto"/>
        </w:rPr>
      </w:pPr>
      <w:r>
        <w:rPr>
          <w:rFonts w:hint="eastAsia" w:ascii="楷体" w:hAnsi="楷体" w:eastAsia="楷体" w:cs="楷体"/>
          <w:bCs/>
          <w:color w:val="auto"/>
          <w:sz w:val="32"/>
          <w:szCs w:val="32"/>
          <w:shd w:val="clear" w:color="auto" w:fill="auto"/>
        </w:rPr>
        <w:t>（二）部门决算中项目绩效自评结果（预算部门、单位可根据实际情况反映重点项目绩效自评结果）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rPr>
        <w:t>参照如下格式说明（表述应与决算内容保持一致）：我部门（单位）在部门决算中反映</w:t>
      </w:r>
      <w:r>
        <w:rPr>
          <w:rFonts w:hint="eastAsia" w:ascii="仿宋_GB2312" w:eastAsia="仿宋_GB2312"/>
          <w:color w:val="auto"/>
          <w:sz w:val="32"/>
          <w:szCs w:val="32"/>
          <w:shd w:val="clear" w:color="auto" w:fill="auto"/>
          <w:lang w:val="en-US" w:eastAsia="zh-CN"/>
        </w:rPr>
        <w:t>0</w:t>
      </w:r>
      <w:r>
        <w:rPr>
          <w:rFonts w:hint="eastAsia" w:ascii="仿宋_GB2312" w:eastAsia="仿宋_GB2312"/>
          <w:color w:val="auto"/>
          <w:sz w:val="32"/>
          <w:szCs w:val="32"/>
          <w:shd w:val="clear" w:color="auto" w:fill="auto"/>
        </w:rPr>
        <w:t>个项目绩效自评结果（包括项目绩效自评表和项目绩效自评报告）。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shd w:val="clear" w:color="auto" w:fill="auto"/>
          <w:lang w:eastAsia="zh-CN"/>
        </w:rPr>
      </w:pPr>
      <w:r>
        <w:rPr>
          <w:rFonts w:hint="eastAsia" w:ascii="仿宋_GB2312" w:eastAsia="仿宋_GB2312"/>
          <w:color w:val="auto"/>
          <w:sz w:val="32"/>
          <w:szCs w:val="32"/>
          <w:shd w:val="clear" w:color="auto" w:fill="auto"/>
        </w:rPr>
        <w:t>项目绩效自评表：</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可作为附件附后</w:t>
      </w:r>
      <w:r>
        <w:rPr>
          <w:rFonts w:hint="eastAsia" w:ascii="仿宋_GB2312" w:eastAsia="仿宋_GB2312"/>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shd w:val="clear" w:color="auto" w:fill="auto"/>
        </w:rPr>
      </w:pPr>
      <w:r>
        <w:rPr>
          <w:rFonts w:hint="eastAsia" w:ascii="仿宋_GB2312" w:eastAsia="仿宋_GB2312"/>
          <w:color w:val="auto"/>
          <w:sz w:val="32"/>
          <w:szCs w:val="32"/>
          <w:shd w:val="clear" w:color="auto" w:fill="auto"/>
        </w:rPr>
        <w:t>项目绩效自评报告：根据年初设定的绩效目标，项目绩效自评得分</w:t>
      </w:r>
      <w:r>
        <w:rPr>
          <w:rFonts w:hint="eastAsia" w:ascii="仿宋_GB2312" w:eastAsia="仿宋_GB2312"/>
          <w:color w:val="auto"/>
          <w:sz w:val="32"/>
          <w:szCs w:val="32"/>
          <w:shd w:val="clear" w:color="auto" w:fill="auto"/>
          <w:lang w:val="en-US" w:eastAsia="zh-CN"/>
        </w:rPr>
        <w:t>为0</w:t>
      </w:r>
      <w:r>
        <w:rPr>
          <w:rFonts w:hint="eastAsia" w:ascii="仿宋_GB2312" w:eastAsia="仿宋_GB2312"/>
          <w:color w:val="auto"/>
          <w:sz w:val="32"/>
          <w:szCs w:val="32"/>
          <w:shd w:val="clear" w:color="auto" w:fill="auto"/>
        </w:rPr>
        <w:t>分。全年预算数为</w:t>
      </w:r>
      <w:r>
        <w:rPr>
          <w:rFonts w:hint="eastAsia" w:ascii="仿宋_GB2312" w:eastAsia="仿宋_GB2312"/>
          <w:color w:val="auto"/>
          <w:sz w:val="32"/>
          <w:szCs w:val="32"/>
          <w:shd w:val="clear" w:color="auto" w:fill="auto"/>
          <w:lang w:val="en-US" w:eastAsia="zh-CN"/>
        </w:rPr>
        <w:t>0</w:t>
      </w:r>
      <w:r>
        <w:rPr>
          <w:rFonts w:hint="eastAsia" w:ascii="仿宋_GB2312" w:eastAsia="仿宋_GB2312"/>
          <w:color w:val="auto"/>
          <w:sz w:val="32"/>
          <w:szCs w:val="32"/>
          <w:shd w:val="clear" w:color="auto" w:fill="auto"/>
        </w:rPr>
        <w:t>万元，执行数为</w:t>
      </w:r>
      <w:r>
        <w:rPr>
          <w:rFonts w:hint="eastAsia" w:ascii="仿宋_GB2312" w:eastAsia="仿宋_GB2312"/>
          <w:color w:val="auto"/>
          <w:sz w:val="32"/>
          <w:szCs w:val="32"/>
          <w:shd w:val="clear" w:color="auto" w:fill="auto"/>
          <w:lang w:val="en-US" w:eastAsia="zh-CN"/>
        </w:rPr>
        <w:t>0</w:t>
      </w:r>
      <w:r>
        <w:rPr>
          <w:rFonts w:hint="eastAsia" w:ascii="仿宋_GB2312" w:eastAsia="仿宋_GB2312"/>
          <w:color w:val="auto"/>
          <w:sz w:val="32"/>
          <w:szCs w:val="32"/>
          <w:shd w:val="clear" w:color="auto" w:fill="auto"/>
        </w:rPr>
        <w:t>万元，完成预算的</w:t>
      </w:r>
      <w:r>
        <w:rPr>
          <w:rFonts w:hint="eastAsia" w:ascii="仿宋_GB2312" w:eastAsia="仿宋_GB2312"/>
          <w:color w:val="auto"/>
          <w:sz w:val="32"/>
          <w:szCs w:val="32"/>
          <w:shd w:val="clear" w:color="auto" w:fill="auto"/>
          <w:lang w:val="en-US" w:eastAsia="zh-CN"/>
        </w:rPr>
        <w:t>0</w:t>
      </w:r>
      <w:r>
        <w:rPr>
          <w:rFonts w:hint="eastAsia" w:ascii="仿宋_GB2312" w:eastAsia="仿宋_GB2312"/>
          <w:color w:val="auto"/>
          <w:sz w:val="32"/>
          <w:szCs w:val="32"/>
          <w:shd w:val="clear" w:color="auto" w:fill="auto"/>
        </w:rPr>
        <w:t>%。项目绩效目标完成情况：</w:t>
      </w:r>
      <w:r>
        <w:rPr>
          <w:rFonts w:hint="eastAsia" w:ascii="仿宋_GB2312" w:hAnsi="ˎ̥" w:eastAsia="仿宋_GB2312"/>
          <w:color w:val="auto"/>
          <w:sz w:val="32"/>
          <w:szCs w:val="32"/>
          <w:shd w:val="clear" w:color="auto" w:fill="auto"/>
        </w:rPr>
        <w:t>一</w:t>
      </w:r>
      <w:r>
        <w:rPr>
          <w:rFonts w:hint="eastAsia" w:ascii="仿宋_GB2312" w:hAnsi="ˎ̥" w:eastAsia="仿宋_GB2312"/>
          <w:color w:val="auto"/>
          <w:sz w:val="32"/>
          <w:szCs w:val="32"/>
          <w:shd w:val="clear" w:color="auto" w:fill="auto"/>
          <w:lang w:val="en-US" w:eastAsia="zh-CN"/>
        </w:rPr>
        <w:t>是本单位为2024年新增单位，未开展此项工作</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shd w:val="clear" w:color="auto" w:fill="auto"/>
        </w:rPr>
      </w:pPr>
      <w:r>
        <w:rPr>
          <w:rFonts w:hint="eastAsia" w:ascii="楷体" w:hAnsi="楷体" w:eastAsia="楷体" w:cs="楷体"/>
          <w:bCs/>
          <w:color w:val="auto"/>
          <w:sz w:val="32"/>
          <w:szCs w:val="32"/>
          <w:shd w:val="clear" w:color="auto" w:fill="auto"/>
        </w:rPr>
        <w:t>（三）部门评价结果（预算部门填写，部门所属单位不需填写）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kern w:val="0"/>
          <w:sz w:val="32"/>
          <w:szCs w:val="32"/>
          <w:shd w:val="clear" w:color="auto" w:fill="auto"/>
          <w:lang w:bidi="ar"/>
        </w:rPr>
      </w:pPr>
      <w:r>
        <w:rPr>
          <w:rFonts w:hint="eastAsia" w:ascii="仿宋_GB2312" w:hAnsi="仿宋_GB2312" w:eastAsia="仿宋_GB2312" w:cs="仿宋_GB2312"/>
          <w:color w:val="auto"/>
          <w:kern w:val="0"/>
          <w:sz w:val="32"/>
          <w:szCs w:val="32"/>
          <w:shd w:val="clear" w:color="auto" w:fill="auto"/>
          <w:lang w:bidi="ar"/>
        </w:rPr>
        <w:t>部门评价项目数量在3个以内的，至少将1个部门评价报告向社会公开；部门评价项目数量大于3个的，至少将2个部门评价报告向社会公开。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shd w:val="clear" w:color="auto" w:fill="auto"/>
        </w:rPr>
      </w:pPr>
      <w:r>
        <w:rPr>
          <w:rFonts w:hint="eastAsia" w:ascii="楷体" w:hAnsi="楷体" w:eastAsia="楷体" w:cs="楷体"/>
          <w:bCs/>
          <w:color w:val="auto"/>
          <w:sz w:val="32"/>
          <w:szCs w:val="32"/>
          <w:shd w:val="clear" w:color="auto" w:fill="auto"/>
        </w:rPr>
        <w:t>（四）财政评价结果（如有）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shd w:val="clear" w:color="auto" w:fill="auto"/>
        </w:rPr>
      </w:pPr>
      <w:r>
        <w:rPr>
          <w:rFonts w:hint="eastAsia" w:ascii="仿宋_GB2312" w:eastAsia="仿宋_GB2312"/>
          <w:color w:val="auto"/>
          <w:sz w:val="32"/>
          <w:szCs w:val="32"/>
          <w:shd w:val="clear" w:color="auto" w:fill="auto"/>
          <w:lang w:val="zh-CN"/>
        </w:rPr>
        <w:t>反映财政部门组织开展的预算部门（单位）重点项目财政评价情况，如有，可将评价报告附后。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shd w:val="clear" w:color="auto" w:fill="auto"/>
        </w:rPr>
      </w:pPr>
      <w:r>
        <w:rPr>
          <w:rFonts w:hint="eastAsia" w:ascii="黑体" w:hAnsi="黑体" w:eastAsia="黑体" w:cs="黑体"/>
          <w:bCs/>
          <w:color w:val="auto"/>
          <w:sz w:val="32"/>
          <w:szCs w:val="32"/>
          <w:shd w:val="clear" w:color="auto" w:fill="auto"/>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shd w:val="clear" w:color="auto" w:fill="auto"/>
        </w:rPr>
      </w:pPr>
      <w:bookmarkStart w:id="97" w:name="_Toc18325_WPSOffice_Level2"/>
      <w:bookmarkStart w:id="98" w:name="_Toc15262_WPSOffice_Level2"/>
      <w:bookmarkStart w:id="99" w:name="_Toc15565_WPSOffice_Level2"/>
      <w:bookmarkStart w:id="100" w:name="_Toc5978_WPSOffice_Level2"/>
      <w:bookmarkStart w:id="101" w:name="_Toc23598_WPSOffice_Level2"/>
      <w:bookmarkStart w:id="102" w:name="_Toc32639_WPSOffice_Level2"/>
      <w:r>
        <w:rPr>
          <w:rFonts w:hint="eastAsia" w:ascii="楷体" w:hAnsi="楷体" w:eastAsia="楷体" w:cs="楷体"/>
          <w:bCs/>
          <w:color w:val="auto"/>
          <w:sz w:val="32"/>
          <w:szCs w:val="32"/>
          <w:shd w:val="clear" w:color="auto" w:fill="auto"/>
        </w:rPr>
        <w:t>（一）机关运行经费支出情况</w:t>
      </w:r>
      <w:bookmarkEnd w:id="97"/>
      <w:bookmarkEnd w:id="98"/>
      <w:bookmarkEnd w:id="99"/>
      <w:bookmarkEnd w:id="100"/>
      <w:bookmarkEnd w:id="101"/>
      <w:bookmarkEnd w:id="10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shd w:val="clear" w:color="auto" w:fill="auto"/>
          <w:lang w:val="en-US" w:eastAsia="zh-CN"/>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w:t>
      </w:r>
      <w:r>
        <w:rPr>
          <w:rFonts w:hint="eastAsia" w:ascii="仿宋_GB2312" w:hAnsi="ˎ̥" w:eastAsia="仿宋_GB2312"/>
          <w:color w:val="000000" w:themeColor="text1"/>
          <w:sz w:val="32"/>
          <w:szCs w:val="32"/>
          <w:lang w:val="en-US" w:eastAsia="zh-CN"/>
          <w14:textFill>
            <w14:solidFill>
              <w14:schemeClr w14:val="tx1"/>
            </w14:solidFill>
          </w14:textFill>
        </w:rPr>
        <w:t>色尼区油恰乡幼儿园</w:t>
      </w:r>
      <w:r>
        <w:rPr>
          <w:rFonts w:hint="eastAsia" w:ascii="仿宋_GB2312" w:hAnsi="ˎ̥" w:eastAsia="仿宋_GB2312"/>
          <w:color w:val="000000" w:themeColor="text1"/>
          <w:sz w:val="32"/>
          <w:szCs w:val="32"/>
          <w14:textFill>
            <w14:solidFill>
              <w14:schemeClr w14:val="tx1"/>
            </w14:solidFill>
          </w14:textFill>
        </w:rPr>
        <w:t>部门</w:t>
      </w:r>
      <w:r>
        <w:rPr>
          <w:rFonts w:hint="eastAsia" w:ascii="仿宋_GB2312" w:hAnsi="ˎ̥" w:eastAsia="仿宋_GB2312"/>
          <w:color w:val="auto"/>
          <w:sz w:val="32"/>
          <w:szCs w:val="32"/>
          <w:shd w:val="clear" w:color="auto" w:fill="auto"/>
        </w:rPr>
        <w:t>（单位）机关运行经费</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万元（为部门决算中行政单位和参公事业单位财政拨款基本支出中公用经费支出之和，事业单位没有机关运行经费支出），比年初预算增加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val="en-US" w:eastAsia="zh-CN"/>
        </w:rPr>
        <w:t>完成预算的0</w:t>
      </w:r>
      <w:r>
        <w:rPr>
          <w:rFonts w:hint="eastAsia"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与2023年度相比，机关运行经费</w:t>
      </w:r>
      <w:r>
        <w:rPr>
          <w:rFonts w:hint="eastAsia" w:ascii="仿宋_GB2312" w:hAnsi="ˎ̥" w:eastAsia="仿宋_GB2312"/>
          <w:color w:val="auto"/>
          <w:sz w:val="32"/>
          <w:szCs w:val="32"/>
          <w:shd w:val="clear" w:color="auto" w:fill="auto"/>
        </w:rPr>
        <w:t>增加</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lang w:val="en-US" w:eastAsia="zh-CN"/>
        </w:rPr>
        <w:t>增长0%。</w:t>
      </w:r>
      <w:r>
        <w:rPr>
          <w:rFonts w:hint="eastAsia" w:ascii="仿宋_GB2312" w:hAnsi="ˎ̥" w:eastAsia="仿宋_GB2312"/>
          <w:color w:val="auto"/>
          <w:sz w:val="32"/>
          <w:szCs w:val="32"/>
          <w:shd w:val="clear" w:color="auto" w:fill="auto"/>
        </w:rPr>
        <w:t>主要原因是</w:t>
      </w:r>
      <w:r>
        <w:rPr>
          <w:rFonts w:hint="eastAsia" w:ascii="仿宋_GB2312" w:hAnsi="ˎ̥" w:eastAsia="仿宋_GB2312"/>
          <w:color w:val="auto"/>
          <w:sz w:val="32"/>
          <w:szCs w:val="32"/>
          <w:shd w:val="clear" w:color="auto" w:fill="auto"/>
          <w:lang w:val="en-US" w:eastAsia="zh-CN"/>
        </w:rPr>
        <w:t>未安排相关资金。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年度部门决算报表F03表《机构运行信息表》“机关运行经费”栏。）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shd w:val="clear" w:color="auto" w:fill="auto"/>
        </w:rPr>
      </w:pPr>
      <w:bookmarkStart w:id="103" w:name="_Toc30383_WPSOffice_Level2"/>
      <w:bookmarkStart w:id="104" w:name="_Toc32689_WPSOffice_Level2"/>
      <w:bookmarkStart w:id="105" w:name="_Toc3131_WPSOffice_Level2"/>
      <w:bookmarkStart w:id="106" w:name="_Toc25333_WPSOffice_Level2"/>
      <w:bookmarkStart w:id="107" w:name="_Toc13084_WPSOffice_Level2"/>
      <w:bookmarkStart w:id="108" w:name="_Toc23966_WPSOffice_Level2"/>
      <w:r>
        <w:rPr>
          <w:rFonts w:hint="eastAsia" w:ascii="楷体" w:hAnsi="楷体" w:eastAsia="楷体" w:cs="楷体"/>
          <w:bCs/>
          <w:color w:val="auto"/>
          <w:sz w:val="32"/>
          <w:szCs w:val="32"/>
          <w:shd w:val="clear" w:color="auto" w:fill="auto"/>
        </w:rPr>
        <w:t>（二）政府采购支出情况</w:t>
      </w:r>
      <w:bookmarkEnd w:id="103"/>
      <w:bookmarkEnd w:id="104"/>
      <w:bookmarkEnd w:id="105"/>
      <w:bookmarkEnd w:id="106"/>
      <w:bookmarkEnd w:id="107"/>
      <w:bookmarkEnd w:id="10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auto"/>
          <w:sz w:val="32"/>
          <w:szCs w:val="32"/>
          <w:shd w:val="clear" w:color="auto" w:fill="auto"/>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w:t>
      </w:r>
      <w:r>
        <w:rPr>
          <w:rFonts w:hint="eastAsia" w:ascii="仿宋_GB2312" w:hAnsi="ˎ̥" w:eastAsia="仿宋_GB2312"/>
          <w:color w:val="000000" w:themeColor="text1"/>
          <w:sz w:val="32"/>
          <w:szCs w:val="32"/>
          <w:lang w:val="en-US" w:eastAsia="zh-CN"/>
          <w14:textFill>
            <w14:solidFill>
              <w14:schemeClr w14:val="tx1"/>
            </w14:solidFill>
          </w14:textFill>
        </w:rPr>
        <w:t>色尼区油恰乡幼儿园</w:t>
      </w:r>
      <w:r>
        <w:rPr>
          <w:rFonts w:hint="eastAsia" w:ascii="仿宋_GB2312" w:hAnsi="ˎ̥" w:eastAsia="仿宋_GB2312"/>
          <w:color w:val="000000" w:themeColor="text1"/>
          <w:sz w:val="32"/>
          <w:szCs w:val="32"/>
          <w14:textFill>
            <w14:solidFill>
              <w14:schemeClr w14:val="tx1"/>
            </w14:solidFill>
          </w14:textFill>
        </w:rPr>
        <w:t>部门</w:t>
      </w:r>
      <w:r>
        <w:rPr>
          <w:rFonts w:hint="eastAsia" w:ascii="仿宋_GB2312" w:hAnsi="ˎ̥" w:eastAsia="仿宋_GB2312"/>
          <w:color w:val="auto"/>
          <w:sz w:val="32"/>
          <w:szCs w:val="32"/>
          <w:shd w:val="clear" w:color="auto" w:fill="auto"/>
        </w:rPr>
        <w:t>（单位）政府采购支出总额</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auto"/>
          <w:sz w:val="32"/>
          <w:szCs w:val="32"/>
          <w:shd w:val="clear" w:color="auto" w:fill="auto"/>
        </w:rPr>
        <w:t>万元，其中：政府采购货物支出</w:t>
      </w:r>
      <w:r>
        <w:rPr>
          <w:rFonts w:hint="eastAsia" w:ascii="仿宋_GB2312" w:hAnsi="ˎ̥" w:eastAsia="仿宋_GB2312"/>
          <w:color w:val="000000" w:themeColor="text1"/>
          <w:sz w:val="32"/>
          <w:szCs w:val="32"/>
          <w:lang w:val="en-US" w:eastAsia="zh-CN"/>
          <w14:textFill>
            <w14:solidFill>
              <w14:schemeClr w14:val="tx1"/>
            </w14:solidFill>
          </w14:textFill>
        </w:rPr>
        <w:t>0</w:t>
      </w:r>
      <w:bookmarkStart w:id="121" w:name="_GoBack"/>
      <w:bookmarkEnd w:id="121"/>
      <w:r>
        <w:rPr>
          <w:rFonts w:hint="eastAsia" w:ascii="仿宋_GB2312" w:hAnsi="ˎ̥" w:eastAsia="仿宋_GB2312"/>
          <w:color w:val="auto"/>
          <w:sz w:val="32"/>
          <w:szCs w:val="32"/>
          <w:shd w:val="clear" w:color="auto" w:fill="auto"/>
        </w:rPr>
        <w:t>万元、政府采购工程支出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万元、政府采购服务支出</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万元。授予中小企业合同金额</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万元，占政府采购支出总额的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%，其中：授予小微企业合同金额</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万元，占</w:t>
      </w:r>
      <w:r>
        <w:rPr>
          <w:rFonts w:hint="eastAsia" w:ascii="仿宋_GB2312" w:hAnsi="仿宋_GB2312" w:eastAsia="仿宋_GB2312" w:cs="仿宋_GB2312"/>
          <w:color w:val="auto"/>
          <w:kern w:val="0"/>
          <w:sz w:val="32"/>
          <w:szCs w:val="32"/>
          <w:shd w:val="clear" w:color="auto" w:fill="auto"/>
          <w:lang w:bidi="ar"/>
        </w:rPr>
        <w:t>授予中小企业合同金额</w:t>
      </w:r>
      <w:r>
        <w:rPr>
          <w:rFonts w:hint="eastAsia" w:ascii="仿宋_GB2312" w:hAnsi="仿宋_GB2312" w:eastAsia="仿宋_GB2312" w:cs="仿宋_GB2312"/>
          <w:color w:val="auto"/>
          <w:sz w:val="32"/>
          <w:szCs w:val="32"/>
          <w:shd w:val="clear" w:color="auto" w:fill="auto"/>
        </w:rPr>
        <w:t>的</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上述政府采购支出相关</w:t>
      </w:r>
      <w:r>
        <w:rPr>
          <w:rFonts w:hint="eastAsia" w:ascii="仿宋_GB2312" w:hAnsi="ˎ̥" w:eastAsia="仿宋_GB2312"/>
          <w:color w:val="auto"/>
          <w:sz w:val="32"/>
          <w:szCs w:val="32"/>
          <w:shd w:val="clear" w:color="auto" w:fill="auto"/>
          <w:lang w:val="en-US" w:eastAsia="zh-CN"/>
        </w:rPr>
        <w:t>数据</w:t>
      </w:r>
      <w:r>
        <w:rPr>
          <w:rFonts w:hint="eastAsia" w:ascii="仿宋_GB2312" w:hAnsi="ˎ̥" w:eastAsia="仿宋_GB2312"/>
          <w:color w:val="auto"/>
          <w:sz w:val="32"/>
          <w:szCs w:val="32"/>
          <w:shd w:val="clear" w:color="auto" w:fill="auto"/>
        </w:rPr>
        <w:t>取自</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年度部门决算报表F03表《机构运行信息表》，授予中小企业和小微企业合同金额由各部门查阅本部门相关资料填写。）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shd w:val="clear" w:color="auto" w:fill="auto"/>
        </w:rPr>
      </w:pPr>
      <w:bookmarkStart w:id="109" w:name="_Toc10902_WPSOffice_Level2"/>
      <w:bookmarkStart w:id="110" w:name="_Toc29584_WPSOffice_Level2"/>
      <w:bookmarkStart w:id="111" w:name="_Toc527_WPSOffice_Level2"/>
      <w:bookmarkStart w:id="112" w:name="_Toc19989_WPSOffice_Level2"/>
      <w:bookmarkStart w:id="113" w:name="_Toc6016_WPSOffice_Level2"/>
      <w:bookmarkStart w:id="114" w:name="_Toc15129_WPSOffice_Level2"/>
      <w:r>
        <w:rPr>
          <w:rFonts w:hint="eastAsia" w:ascii="楷体" w:hAnsi="楷体" w:eastAsia="楷体" w:cs="楷体"/>
          <w:bCs/>
          <w:color w:val="auto"/>
          <w:sz w:val="32"/>
          <w:szCs w:val="32"/>
          <w:shd w:val="clear" w:color="auto" w:fill="auto"/>
        </w:rPr>
        <w:t>（三）国有资产占用情况</w:t>
      </w:r>
      <w:bookmarkEnd w:id="109"/>
      <w:bookmarkEnd w:id="110"/>
      <w:bookmarkEnd w:id="111"/>
      <w:bookmarkEnd w:id="112"/>
      <w:bookmarkEnd w:id="113"/>
      <w:bookmarkEnd w:id="11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bCs/>
          <w:color w:val="auto"/>
          <w:sz w:val="32"/>
          <w:szCs w:val="32"/>
          <w:shd w:val="clear" w:color="auto" w:fill="auto"/>
        </w:rPr>
        <w:t>截至</w:t>
      </w:r>
      <w:r>
        <w:rPr>
          <w:rFonts w:hint="default" w:ascii="仿宋_GB2312" w:hAnsi="ˎ̥" w:eastAsia="仿宋_GB2312"/>
          <w:bCs/>
          <w:color w:val="auto"/>
          <w:sz w:val="32"/>
          <w:szCs w:val="32"/>
          <w:shd w:val="clear" w:color="auto" w:fill="auto"/>
          <w:lang w:val="en-US"/>
        </w:rPr>
        <w:t>2024</w:t>
      </w:r>
      <w:r>
        <w:rPr>
          <w:rFonts w:hint="eastAsia" w:ascii="仿宋_GB2312" w:hAnsi="ˎ̥" w:eastAsia="仿宋_GB2312"/>
          <w:bCs/>
          <w:color w:val="auto"/>
          <w:sz w:val="32"/>
          <w:szCs w:val="32"/>
          <w:shd w:val="clear" w:color="auto" w:fill="auto"/>
        </w:rPr>
        <w:t>年12月31日，本部门拥有</w:t>
      </w:r>
      <w:r>
        <w:rPr>
          <w:rFonts w:hint="eastAsia" w:ascii="仿宋_GB2312" w:hAnsi="ˎ̥" w:eastAsia="仿宋_GB2312"/>
          <w:color w:val="auto"/>
          <w:sz w:val="32"/>
          <w:szCs w:val="32"/>
          <w:shd w:val="clear" w:color="auto" w:fill="auto"/>
        </w:rPr>
        <w:t>房屋面积</w:t>
      </w:r>
      <w:r>
        <w:rPr>
          <w:rFonts w:hint="eastAsia" w:ascii="仿宋_GB2312" w:hAnsi="ˎ̥" w:eastAsia="仿宋_GB2312"/>
          <w:color w:val="000000" w:themeColor="text1"/>
          <w:sz w:val="32"/>
          <w:szCs w:val="32"/>
          <w:lang w:val="en-US" w:eastAsia="zh-CN"/>
          <w14:textFill>
            <w14:solidFill>
              <w14:schemeClr w14:val="tx1"/>
            </w14:solidFill>
          </w14:textFill>
        </w:rPr>
        <w:t>4693.21</w:t>
      </w:r>
      <w:r>
        <w:rPr>
          <w:rFonts w:hint="eastAsia" w:ascii="仿宋_GB2312" w:hAnsi="ˎ̥" w:eastAsia="仿宋_GB2312"/>
          <w:color w:val="auto"/>
          <w:sz w:val="32"/>
          <w:szCs w:val="32"/>
          <w:shd w:val="clear" w:color="auto" w:fill="auto"/>
        </w:rPr>
        <w:t>平方米</w:t>
      </w:r>
      <w:r>
        <w:rPr>
          <w:rFonts w:hint="eastAsia" w:ascii="仿宋_GB2312" w:hAnsi="ˎ̥" w:eastAsia="仿宋_GB2312"/>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shd w:val="clear" w:color="auto" w:fill="auto"/>
          <w:lang w:val="en-US" w:eastAsia="zh-CN"/>
        </w:rPr>
      </w:pPr>
      <w:r>
        <w:rPr>
          <w:rFonts w:hint="eastAsia" w:ascii="仿宋_GB2312" w:hAnsi="ˎ̥" w:eastAsia="仿宋_GB2312"/>
          <w:color w:val="auto"/>
          <w:sz w:val="32"/>
          <w:szCs w:val="32"/>
          <w:shd w:val="clear" w:color="auto" w:fill="auto"/>
        </w:rPr>
        <w:t>本部门共有车辆</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辆，其中，副部（省）级及以上领导用车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辆、主要负责人用车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辆、机要通信用车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辆、应急保障用车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辆、执法执勤用车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辆、特种专业技术用车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辆、离退休干部服务用车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辆、其他用车</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辆。</w:t>
      </w:r>
      <w:r>
        <w:rPr>
          <w:rFonts w:hint="eastAsia" w:ascii="仿宋_GB2312" w:hAnsi="ˎ̥" w:eastAsia="仿宋_GB2312"/>
          <w:color w:val="auto"/>
          <w:sz w:val="32"/>
          <w:szCs w:val="32"/>
          <w:shd w:val="clear" w:color="auto" w:fil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单价100万元（含）以上设备（不含车辆）</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台（套）。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上述国有资产占用情况相关数</w:t>
      </w:r>
      <w:r>
        <w:rPr>
          <w:rFonts w:hint="eastAsia" w:ascii="仿宋_GB2312" w:hAnsi="ˎ̥" w:eastAsia="仿宋_GB2312"/>
          <w:color w:val="auto"/>
          <w:sz w:val="32"/>
          <w:szCs w:val="32"/>
          <w:shd w:val="clear" w:color="auto" w:fill="auto"/>
          <w:lang w:val="en-US" w:eastAsia="zh-CN"/>
        </w:rPr>
        <w:t>据</w:t>
      </w:r>
      <w:r>
        <w:rPr>
          <w:rFonts w:hint="eastAsia" w:ascii="仿宋_GB2312" w:hAnsi="ˎ̥" w:eastAsia="仿宋_GB2312"/>
          <w:color w:val="auto"/>
          <w:sz w:val="32"/>
          <w:szCs w:val="32"/>
          <w:shd w:val="clear" w:color="auto" w:fill="auto"/>
        </w:rPr>
        <w:t>取自</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年度部门决算F0</w:t>
      </w:r>
      <w:r>
        <w:rPr>
          <w:rFonts w:hint="default" w:ascii="仿宋_GB2312" w:hAnsi="ˎ̥" w:eastAsia="仿宋_GB2312"/>
          <w:color w:val="auto"/>
          <w:sz w:val="32"/>
          <w:szCs w:val="32"/>
          <w:shd w:val="clear" w:color="auto" w:fill="auto"/>
          <w:lang w:val="en-US"/>
        </w:rPr>
        <w:t>2</w:t>
      </w:r>
      <w:r>
        <w:rPr>
          <w:rFonts w:hint="eastAsia" w:ascii="仿宋_GB2312" w:hAnsi="ˎ̥" w:eastAsia="仿宋_GB2312"/>
          <w:color w:val="auto"/>
          <w:sz w:val="32"/>
          <w:szCs w:val="32"/>
          <w:shd w:val="clear" w:color="auto" w:fill="auto"/>
        </w:rPr>
        <w:t>表《预算支出相关信息表》、F03表《机构运行信息表》。）</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shd w:val="clear" w:color="auto" w:fill="auto"/>
        </w:rPr>
      </w:pPr>
      <w:bookmarkStart w:id="115" w:name="_Toc15425_WPSOffice_Level1"/>
      <w:bookmarkStart w:id="116" w:name="_Toc17580_WPSOffice_Level1"/>
      <w:bookmarkStart w:id="117" w:name="_Toc8874_WPSOffice_Level1"/>
      <w:bookmarkStart w:id="118" w:name="_Toc4398_WPSOffice_Level1"/>
      <w:bookmarkStart w:id="119" w:name="_Toc11039_WPSOffice_Level1"/>
      <w:bookmarkStart w:id="120" w:name="_Toc8808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shd w:val="clear" w:color="auto" w:fill="auto"/>
        </w:rPr>
      </w:pPr>
      <w:r>
        <w:rPr>
          <w:rFonts w:hint="eastAsia" w:ascii="黑体" w:hAnsi="ˎ̥" w:eastAsia="黑体"/>
          <w:color w:val="auto"/>
          <w:sz w:val="32"/>
          <w:szCs w:val="32"/>
          <w:shd w:val="clear" w:color="auto" w:fill="auto"/>
        </w:rPr>
        <w:t>第四部分  名词解释</w:t>
      </w:r>
      <w:bookmarkEnd w:id="115"/>
      <w:bookmarkEnd w:id="116"/>
      <w:bookmarkEnd w:id="117"/>
      <w:bookmarkEnd w:id="118"/>
      <w:bookmarkEnd w:id="119"/>
      <w:bookmarkEnd w:id="120"/>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shd w:val="clear" w:color="auto" w:fill="auto"/>
        </w:rPr>
      </w:pP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rPr>
        <w:t>十六、</w:t>
      </w:r>
      <w:r>
        <w:rPr>
          <w:rFonts w:ascii="仿宋_GB2312" w:hAnsi="ˎ̥" w:eastAsia="仿宋_GB2312"/>
          <w:color w:val="auto"/>
          <w:sz w:val="32"/>
          <w:szCs w:val="32"/>
          <w:shd w:val="clear" w:color="auto" w:fill="auto"/>
        </w:rPr>
        <w:t>支出功能分类：</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auto"/>
          <w:sz w:val="32"/>
          <w:szCs w:val="32"/>
          <w:shd w:val="clear" w:color="auto" w:fill="auto"/>
        </w:rPr>
      </w:pP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（类）</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（款）</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（项）；</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color w:val="auto"/>
          <w:sz w:val="32"/>
          <w:szCs w:val="32"/>
          <w:shd w:val="clear" w:color="auto" w:fill="auto"/>
          <w:lang w:val="en-US" w:eastAsia="zh-CN"/>
        </w:rPr>
      </w:pP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（类）</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（款）</w:t>
      </w:r>
      <w:r>
        <w:rPr>
          <w:rFonts w:hint="eastAsia" w:ascii="仿宋_GB2312" w:hAnsi="ˎ̥" w:eastAsia="仿宋_GB2312"/>
          <w:color w:val="auto"/>
          <w:sz w:val="32"/>
          <w:szCs w:val="32"/>
          <w:shd w:val="clear" w:color="auto" w:fill="auto"/>
          <w:lang w:val="en-US" w:eastAsia="zh-CN"/>
        </w:rPr>
        <w:t>0</w:t>
      </w:r>
      <w:r>
        <w:rPr>
          <w:rFonts w:hint="eastAsia" w:ascii="仿宋_GB2312" w:hAnsi="ˎ̥" w:eastAsia="仿宋_GB2312"/>
          <w:color w:val="auto"/>
          <w:sz w:val="32"/>
          <w:szCs w:val="32"/>
          <w:shd w:val="clear" w:color="auto" w:fill="auto"/>
        </w:rPr>
        <w:t>（项）</w:t>
      </w:r>
      <w:r>
        <w:rPr>
          <w:rFonts w:hint="eastAsia" w:ascii="仿宋_GB2312" w:hAnsi="ˎ̥" w:eastAsia="仿宋_GB2312"/>
          <w:color w:val="auto"/>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shd w:val="clear" w:color="auto" w:fill="auto"/>
        </w:rPr>
      </w:pPr>
      <w:r>
        <w:rPr>
          <w:rFonts w:hint="eastAsia" w:ascii="仿宋_GB2312" w:hAnsi="ˎ̥" w:eastAsia="仿宋_GB2312"/>
          <w:color w:val="auto"/>
          <w:sz w:val="32"/>
          <w:szCs w:val="32"/>
          <w:shd w:val="clear" w:color="auto" w:fill="auto"/>
        </w:rPr>
        <w:t>（注</w:t>
      </w:r>
      <w:r>
        <w:rPr>
          <w:rFonts w:ascii="仿宋_GB2312" w:hAnsi="ˎ̥" w:eastAsia="仿宋_GB2312"/>
          <w:color w:val="auto"/>
          <w:sz w:val="32"/>
          <w:szCs w:val="32"/>
          <w:shd w:val="clear" w:color="auto" w:fill="auto"/>
        </w:rPr>
        <w:t>：</w:t>
      </w:r>
      <w:r>
        <w:rPr>
          <w:rFonts w:hint="eastAsia" w:ascii="仿宋_GB2312" w:hAnsi="ˎ̥" w:eastAsia="仿宋_GB2312"/>
          <w:color w:val="auto"/>
          <w:sz w:val="32"/>
          <w:szCs w:val="32"/>
          <w:shd w:val="clear" w:color="auto" w:fill="auto"/>
        </w:rPr>
        <w:t>支出功能分类的名词解释，各</w:t>
      </w:r>
      <w:r>
        <w:rPr>
          <w:rFonts w:hint="eastAsia" w:ascii="仿宋_GB2312" w:hAnsi="ˎ̥" w:eastAsia="仿宋_GB2312"/>
          <w:color w:val="auto"/>
          <w:sz w:val="32"/>
          <w:szCs w:val="32"/>
          <w:shd w:val="clear" w:color="auto" w:fill="auto"/>
          <w:lang w:val="en-US" w:eastAsia="zh-CN"/>
        </w:rPr>
        <w:t>预算</w:t>
      </w:r>
      <w:r>
        <w:rPr>
          <w:rFonts w:hint="eastAsia" w:ascii="仿宋_GB2312" w:hAnsi="ˎ̥" w:eastAsia="仿宋_GB2312"/>
          <w:color w:val="auto"/>
          <w:sz w:val="32"/>
          <w:szCs w:val="32"/>
          <w:shd w:val="clear" w:color="auto" w:fill="auto"/>
        </w:rPr>
        <w:t>部门</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单位根据实际支出情况填列，可参阅财政部印发的《</w:t>
      </w:r>
      <w:r>
        <w:rPr>
          <w:rFonts w:hint="default" w:ascii="仿宋_GB2312" w:hAnsi="ˎ̥" w:eastAsia="仿宋_GB2312"/>
          <w:color w:val="auto"/>
          <w:sz w:val="32"/>
          <w:szCs w:val="32"/>
          <w:shd w:val="clear" w:color="auto" w:fill="auto"/>
          <w:lang w:val="en-US"/>
        </w:rPr>
        <w:t>2024</w:t>
      </w:r>
      <w:r>
        <w:rPr>
          <w:rFonts w:hint="eastAsia" w:ascii="仿宋_GB2312" w:hAnsi="ˎ̥" w:eastAsia="仿宋_GB2312"/>
          <w:color w:val="auto"/>
          <w:sz w:val="32"/>
          <w:szCs w:val="32"/>
          <w:shd w:val="clear" w:color="auto" w:fill="auto"/>
        </w:rPr>
        <w:t>年政府收支分类科目》</w:t>
      </w:r>
      <w:r>
        <w:rPr>
          <w:rFonts w:hint="eastAsia" w:ascii="仿宋_GB2312" w:hAnsi="ˎ̥" w:eastAsia="仿宋_GB2312"/>
          <w:color w:val="auto"/>
          <w:sz w:val="32"/>
          <w:szCs w:val="32"/>
          <w:shd w:val="clear" w:color="auto" w:fill="auto"/>
          <w:lang w:eastAsia="zh-CN"/>
        </w:rPr>
        <w:t>。</w:t>
      </w:r>
      <w:r>
        <w:rPr>
          <w:rFonts w:hint="eastAsia" w:ascii="仿宋_GB2312" w:hAnsi="ˎ̥" w:eastAsia="仿宋_GB2312"/>
          <w:color w:val="auto"/>
          <w:sz w:val="32"/>
          <w:szCs w:val="32"/>
          <w:shd w:val="clear" w:color="auto" w:fill="auto"/>
        </w:rPr>
        <w:t>）</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0DB69772"/>
    <w:multiLevelType w:val="singleLevel"/>
    <w:tmpl w:val="0DB69772"/>
    <w:lvl w:ilvl="0" w:tentative="0">
      <w:start w:val="1"/>
      <w:numFmt w:val="decimal"/>
      <w:lvlText w:val="%1."/>
      <w:lvlJc w:val="left"/>
      <w:pPr>
        <w:tabs>
          <w:tab w:val="left" w:pos="312"/>
        </w:tabs>
      </w:pPr>
    </w:lvl>
  </w:abstractNum>
  <w:abstractNum w:abstractNumId="2">
    <w:nsid w:val="72109F8D"/>
    <w:multiLevelType w:val="singleLevel"/>
    <w:tmpl w:val="72109F8D"/>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1EB1FCF"/>
    <w:rsid w:val="0483550D"/>
    <w:rsid w:val="09201287"/>
    <w:rsid w:val="0DE2742F"/>
    <w:rsid w:val="0FC80124"/>
    <w:rsid w:val="136F98C7"/>
    <w:rsid w:val="17427E68"/>
    <w:rsid w:val="1755065F"/>
    <w:rsid w:val="1AFC29C9"/>
    <w:rsid w:val="1CA52F2E"/>
    <w:rsid w:val="1DFE370B"/>
    <w:rsid w:val="1E3630B9"/>
    <w:rsid w:val="1EC470E5"/>
    <w:rsid w:val="267E5495"/>
    <w:rsid w:val="26EEC2B5"/>
    <w:rsid w:val="29472309"/>
    <w:rsid w:val="2B406E77"/>
    <w:rsid w:val="2C2A0C43"/>
    <w:rsid w:val="2D1E73A5"/>
    <w:rsid w:val="32717154"/>
    <w:rsid w:val="34B63260"/>
    <w:rsid w:val="358416AA"/>
    <w:rsid w:val="37FDA7E2"/>
    <w:rsid w:val="3A314D88"/>
    <w:rsid w:val="3A746883"/>
    <w:rsid w:val="3B757A4F"/>
    <w:rsid w:val="3CA15DE9"/>
    <w:rsid w:val="3DF33C93"/>
    <w:rsid w:val="3FE61EE5"/>
    <w:rsid w:val="406508EE"/>
    <w:rsid w:val="408D6263"/>
    <w:rsid w:val="41B40CEE"/>
    <w:rsid w:val="46E2638C"/>
    <w:rsid w:val="48317291"/>
    <w:rsid w:val="485F7024"/>
    <w:rsid w:val="48E70666"/>
    <w:rsid w:val="4C486BB6"/>
    <w:rsid w:val="4C6877E5"/>
    <w:rsid w:val="4D6A468D"/>
    <w:rsid w:val="4EA86137"/>
    <w:rsid w:val="4EFE29BD"/>
    <w:rsid w:val="54AA3DF7"/>
    <w:rsid w:val="56CA7FD0"/>
    <w:rsid w:val="57FA38D1"/>
    <w:rsid w:val="5E4F2286"/>
    <w:rsid w:val="5F7D3333"/>
    <w:rsid w:val="61385890"/>
    <w:rsid w:val="687436E1"/>
    <w:rsid w:val="69C80FBA"/>
    <w:rsid w:val="6C361582"/>
    <w:rsid w:val="6DA45C50"/>
    <w:rsid w:val="6E9A7825"/>
    <w:rsid w:val="6F670F9B"/>
    <w:rsid w:val="73593979"/>
    <w:rsid w:val="737450E0"/>
    <w:rsid w:val="73F141CE"/>
    <w:rsid w:val="74054476"/>
    <w:rsid w:val="742F38C4"/>
    <w:rsid w:val="74AB66DC"/>
    <w:rsid w:val="74C4154C"/>
    <w:rsid w:val="75956FFF"/>
    <w:rsid w:val="76C30EE4"/>
    <w:rsid w:val="77AA2D01"/>
    <w:rsid w:val="79B912E7"/>
    <w:rsid w:val="7CDE1DBD"/>
    <w:rsid w:val="7D943A85"/>
    <w:rsid w:val="7DB0448C"/>
    <w:rsid w:val="7E5F9AA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 w:type="paragraph" w:styleId="1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7186</Words>
  <Characters>10522</Characters>
  <Lines>67</Lines>
  <Paragraphs>18</Paragraphs>
  <TotalTime>2</TotalTime>
  <ScaleCrop>false</ScaleCrop>
  <LinksUpToDate>false</LinksUpToDate>
  <CharactersWithSpaces>10608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Administrator</cp:lastModifiedBy>
  <cp:lastPrinted>2023-08-03T00:58:00Z</cp:lastPrinted>
  <dcterms:modified xsi:type="dcterms:W3CDTF">2025-10-13T02:26:41Z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03AE7F14E2DC4BACB053764200FF950D_13</vt:lpwstr>
  </property>
  <property fmtid="{D5CDD505-2E9C-101B-9397-08002B2CF9AE}" pid="4" name="KSOTemplateDocerSaveRecord">
    <vt:lpwstr>eyJoZGlkIjoiY2VlZThlZDk5ZTQ4MTFjNGY3MjIxNTdiOWMzZmQwMWMiLCJ1c2VySWQiOiIyMzQ5MTc1OTYifQ==</vt:lpwstr>
  </property>
</Properties>
</file>