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西藏那曲市色尼区罗玛镇幼儿园2024年度部门决算公开报告</w:t>
      </w:r>
    </w:p>
    <w:p>
      <w:pPr>
        <w:spacing w:line="578" w:lineRule="exact"/>
        <w:jc w:val="center"/>
        <w:rPr>
          <w:rFonts w:hint="eastAsia" w:ascii="黑体" w:hAnsi="ˎ̥" w:eastAsia="黑体"/>
          <w:b/>
          <w:color w:val="auto"/>
          <w:sz w:val="32"/>
          <w:szCs w:val="32"/>
          <w:shd w:val="clear" w:color="auto" w:fill="auto"/>
          <w:lang w:val="en-US" w:eastAsia="zh-CN"/>
        </w:rPr>
      </w:pPr>
      <w:r>
        <w:rPr>
          <w:rFonts w:hint="eastAsia" w:ascii="黑体" w:hAnsi="ˎ̥" w:eastAsia="黑体"/>
          <w:b/>
          <w:color w:val="auto"/>
          <w:sz w:val="32"/>
          <w:szCs w:val="32"/>
          <w:shd w:val="clear" w:color="auto" w:fill="auto"/>
          <w:lang w:val="en-US" w:eastAsia="zh-CN"/>
        </w:rPr>
        <w:t xml:space="preserve"> </w:t>
      </w:r>
    </w:p>
    <w:p>
      <w:pPr>
        <w:spacing w:line="578" w:lineRule="exact"/>
        <w:jc w:val="center"/>
        <w:rPr>
          <w:rFonts w:hint="eastAsia" w:ascii="黑体" w:hAnsi="黑体" w:eastAsia="黑体" w:cs="黑体"/>
          <w:color w:val="auto"/>
          <w:sz w:val="44"/>
          <w:szCs w:val="44"/>
          <w:shd w:val="clear" w:color="auto" w:fill="auto"/>
        </w:rPr>
      </w:pPr>
      <w:bookmarkStart w:id="0" w:name="_Toc11440_WPSOffice_Type2"/>
      <w:r>
        <w:rPr>
          <w:rFonts w:hint="eastAsia" w:ascii="黑体" w:hAnsi="黑体" w:eastAsia="黑体" w:cs="黑体"/>
          <w:color w:val="auto"/>
          <w:sz w:val="44"/>
          <w:szCs w:val="44"/>
          <w:shd w:val="clear" w:color="auto" w:fill="auto"/>
        </w:rPr>
        <w:t>目  录</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_Toc1704_WPSOffice_Level1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第一部分 基本情况</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_Toc20274_WPSOffice_Level2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一、部门（单位）职责</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_Toc4833_WPSOffice_Level2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二、机构设置</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_Toc28253_WPSOffice_Level1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年度部门决算公开表</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_Toc27590_WPSOffice_Level1 </w:instrText>
      </w:r>
      <w:r>
        <w:rPr>
          <w:color w:val="auto"/>
          <w:sz w:val="32"/>
          <w:szCs w:val="32"/>
          <w:shd w:val="clear" w:color="auto" w:fill="auto"/>
        </w:rPr>
        <w:fldChar w:fldCharType="separate"/>
      </w:r>
      <w:r>
        <w:rPr>
          <w:rFonts w:hint="eastAsia" w:ascii="黑体" w:hAnsi="黑体" w:eastAsia="黑体" w:cs="黑体"/>
          <w:color w:val="auto"/>
          <w:sz w:val="32"/>
          <w:szCs w:val="32"/>
          <w:shd w:val="clear" w:color="auto" w:fill="auto"/>
        </w:rPr>
        <w:t>第三部分</w:t>
      </w:r>
      <w:r>
        <w:rPr>
          <w:rFonts w:hint="eastAsia"/>
          <w:color w:val="auto"/>
          <w:sz w:val="32"/>
          <w:szCs w:val="32"/>
          <w:shd w:val="clear" w:color="auto" w:fill="auto"/>
        </w:rPr>
        <w:t xml:space="preserve">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_Toc21737_WPSOffice_Level2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一、收入支出总体情况说明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二、收入决算情况说明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三、支出决算情况说明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四、财政拨款收入支出决算</w:t>
      </w:r>
      <w:r>
        <w:rPr>
          <w:rFonts w:hint="eastAsia" w:ascii="仿宋" w:hAnsi="仿宋" w:eastAsia="仿宋" w:cs="仿宋"/>
          <w:bCs/>
          <w:color w:val="auto"/>
          <w:sz w:val="32"/>
          <w:szCs w:val="32"/>
          <w:shd w:val="clear" w:color="auto" w:fill="auto"/>
          <w:lang w:val="en-US" w:eastAsia="zh-CN"/>
        </w:rPr>
        <w:t>总体</w:t>
      </w:r>
      <w:r>
        <w:rPr>
          <w:rFonts w:hint="eastAsia" w:ascii="仿宋" w:hAnsi="仿宋" w:eastAsia="仿宋" w:cs="仿宋"/>
          <w:bCs/>
          <w:color w:val="auto"/>
          <w:sz w:val="32"/>
          <w:szCs w:val="32"/>
          <w:shd w:val="clear" w:color="auto" w:fill="auto"/>
        </w:rPr>
        <w:t>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五、一般公共预算财政拨款支出决算情况说明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5</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六、一般公共预算财政拨款基本支出决算情况说明</w:t>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政府性基金预算财政拨款支出决算情况说明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国有资本经营预算财政拨款支出决算情况说明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8</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九、财政拨款“三公”经费支出决算情况说明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9</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十、预算绩效情况说明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11</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十一、其他重要事项情况说明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13</w:t>
      </w:r>
    </w:p>
    <w:p>
      <w:pPr>
        <w:pStyle w:val="15"/>
        <w:tabs>
          <w:tab w:val="right" w:leader="dot" w:pos="8306"/>
        </w:tabs>
        <w:spacing w:line="578" w:lineRule="exact"/>
        <w:rPr>
          <w:rFonts w:hint="eastAsia" w:ascii="黑体" w:hAnsi="ˎ̥"/>
          <w:b/>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_Toc15425_WPSOffice_Level1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第四部分  名词解释</w:t>
      </w:r>
      <w:r>
        <w:rPr>
          <w:color w:val="auto"/>
          <w:sz w:val="32"/>
          <w:szCs w:val="32"/>
          <w:shd w:val="clear" w:color="auto" w:fill="auto"/>
        </w:rPr>
        <w:tab/>
      </w:r>
      <w:bookmarkStart w:id="1" w:name="_Toc15425_WPSOffice_Level1Page"/>
      <w:r>
        <w:rPr>
          <w:color w:val="auto"/>
          <w:sz w:val="32"/>
          <w:szCs w:val="32"/>
          <w:shd w:val="clear" w:color="auto" w:fill="auto"/>
        </w:rPr>
        <w:t>1</w:t>
      </w:r>
      <w:bookmarkEnd w:id="1"/>
      <w:r>
        <w:rPr>
          <w:color w:val="auto"/>
          <w:sz w:val="32"/>
          <w:szCs w:val="32"/>
          <w:shd w:val="clear" w:color="auto" w:fill="auto"/>
        </w:rPr>
        <w:fldChar w:fldCharType="end"/>
      </w:r>
      <w:bookmarkEnd w:id="0"/>
      <w:r>
        <w:rPr>
          <w:rFonts w:hint="eastAsia"/>
          <w:color w:val="auto"/>
          <w:sz w:val="32"/>
          <w:szCs w:val="32"/>
          <w:shd w:val="clear" w:color="auto" w:fill="auto"/>
        </w:rPr>
        <w:t>5</w:t>
      </w:r>
    </w:p>
    <w:p>
      <w:pPr>
        <w:spacing w:line="578" w:lineRule="exact"/>
        <w:jc w:val="both"/>
        <w:rPr>
          <w:rFonts w:hint="eastAsia" w:ascii="黑体" w:hAnsi="ˎ̥" w:eastAsia="黑体"/>
          <w:color w:val="auto"/>
          <w:sz w:val="32"/>
          <w:szCs w:val="32"/>
          <w:shd w:val="clear" w:color="auto" w:fill="auto"/>
        </w:rPr>
      </w:pPr>
      <w:bookmarkStart w:id="2" w:name="_Toc22941_WPSOffice_Level1"/>
      <w:bookmarkStart w:id="3" w:name="_Toc32433_WPSOffice_Level1"/>
      <w:bookmarkStart w:id="4" w:name="_Toc1704_WPSOffice_Level1"/>
      <w:bookmarkStart w:id="5" w:name="_Toc23465_WPSOffice_Level1"/>
      <w:bookmarkStart w:id="6" w:name="_Toc10720_WPSOffice_Level1"/>
      <w:bookmarkStart w:id="7" w:name="_Toc10049_WPSOffice_Level1"/>
      <w:bookmarkStart w:id="8" w:name="_Toc26580_WPSOffice_Level2"/>
      <w:bookmarkStart w:id="9" w:name="_Toc32622_WPSOffice_Level2"/>
      <w:bookmarkStart w:id="10" w:name="_Toc20274_WPSOffice_Level2"/>
      <w:bookmarkStart w:id="11" w:name="_Toc20205_WPSOffice_Level2"/>
      <w:bookmarkStart w:id="12" w:name="_Toc14159_WPSOffice_Level2"/>
      <w:bookmarkStart w:id="13" w:name="_Toc24238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第一部分  </w:t>
      </w:r>
      <w:bookmarkEnd w:id="2"/>
      <w:bookmarkEnd w:id="3"/>
      <w:bookmarkEnd w:id="4"/>
      <w:bookmarkEnd w:id="5"/>
      <w:bookmarkEnd w:id="6"/>
      <w:bookmarkEnd w:id="7"/>
      <w:r>
        <w:rPr>
          <w:rFonts w:hint="eastAsia" w:ascii="黑体" w:hAnsi="ˎ̥" w:eastAsia="黑体"/>
          <w:color w:val="auto"/>
          <w:sz w:val="32"/>
          <w:szCs w:val="32"/>
          <w:shd w:val="clear" w:color="auto" w:fill="auto"/>
        </w:rPr>
        <w:t>基本情况</w:t>
      </w:r>
    </w:p>
    <w:bookmarkEnd w:id="8"/>
    <w:bookmarkEnd w:id="9"/>
    <w:bookmarkEnd w:id="10"/>
    <w:bookmarkEnd w:id="11"/>
    <w:bookmarkEnd w:id="12"/>
    <w:bookmarkEnd w:id="13"/>
    <w:p>
      <w:pPr>
        <w:numPr>
          <w:ilvl w:val="0"/>
          <w:numId w:val="0"/>
        </w:num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部门（单位）职责</w:t>
      </w:r>
    </w:p>
    <w:p>
      <w:pPr>
        <w:pStyle w:val="18"/>
        <w:numPr>
          <w:ilvl w:val="0"/>
          <w:numId w:val="0"/>
        </w:numPr>
        <w:ind w:leftChars="0"/>
        <w:rPr>
          <w:rFonts w:hint="eastAsia" w:ascii="仿宋" w:hAnsi="仿宋" w:eastAsia="仿宋" w:cs="仿宋"/>
          <w:sz w:val="32"/>
          <w:szCs w:val="32"/>
          <w:lang w:val="en-US" w:eastAsia="zh-CN"/>
        </w:rPr>
      </w:pPr>
      <w:bookmarkStart w:id="14" w:name="_Toc4833_WPSOffice_Level2"/>
      <w:bookmarkStart w:id="15" w:name="_Toc24059_WPSOffice_Level2"/>
      <w:bookmarkStart w:id="16" w:name="_Toc17796_WPSOffice_Level2"/>
      <w:bookmarkStart w:id="17" w:name="_Toc6572_WPSOffice_Level2"/>
      <w:bookmarkStart w:id="18" w:name="_Toc24474_WPSOffice_Level2"/>
      <w:r>
        <w:rPr>
          <w:rFonts w:hint="eastAsia" w:ascii="仿宋" w:hAnsi="仿宋" w:eastAsia="仿宋" w:cs="仿宋"/>
          <w:sz w:val="32"/>
          <w:szCs w:val="32"/>
          <w:lang w:val="en-US" w:eastAsia="zh-CN"/>
        </w:rPr>
        <w:t>园长办:幼儿安全、教育质量、师资团队及园所发展总负责。</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党建：开展党员学习、师德师风教育活动。</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工会：工会会员管理、重大节日慰问、工会活动开展落实。</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电教：负责幼儿园学籍管理、教师台账、统计录入等工作。</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财务：负责三包审核、出入库管理、幼儿园财务管理工作。</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后勤：负责幼儿园食堂及后勤管理服务工作。</w:t>
      </w:r>
    </w:p>
    <w:p>
      <w:pPr>
        <w:spacing w:line="578"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保教：负责幼儿园教学常规工作开展及落实、制定幼儿园教学大方向。</w:t>
      </w:r>
    </w:p>
    <w:p>
      <w:p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二、机构设置</w:t>
      </w:r>
      <w:bookmarkEnd w:id="14"/>
      <w:bookmarkEnd w:id="15"/>
      <w:bookmarkEnd w:id="16"/>
      <w:bookmarkEnd w:id="17"/>
      <w:bookmarkEnd w:id="18"/>
    </w:p>
    <w:p>
      <w:pPr>
        <w:spacing w:line="578" w:lineRule="exact"/>
        <w:ind w:firstLine="640" w:firstLineChars="200"/>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rPr>
        <w:t>纳入</w:t>
      </w:r>
      <w:r>
        <w:rPr>
          <w:rFonts w:hint="eastAsia" w:ascii="仿宋" w:hAnsi="仿宋" w:eastAsia="仿宋" w:cs="仿宋"/>
          <w:color w:val="auto"/>
          <w:sz w:val="32"/>
          <w:szCs w:val="32"/>
          <w:shd w:val="clear" w:color="auto" w:fill="auto"/>
          <w:lang w:val="en-US" w:eastAsia="zh-CN"/>
        </w:rPr>
        <w:t>色尼区罗玛镇幼儿园</w:t>
      </w:r>
      <w:r>
        <w:rPr>
          <w:rFonts w:hint="eastAsia" w:ascii="仿宋" w:hAnsi="仿宋" w:eastAsia="仿宋" w:cs="仿宋"/>
          <w:color w:val="auto"/>
          <w:sz w:val="32"/>
          <w:szCs w:val="32"/>
          <w:shd w:val="clear" w:color="auto" w:fill="auto"/>
          <w:lang w:val="en-US"/>
        </w:rPr>
        <w:t>2024</w:t>
      </w:r>
      <w:r>
        <w:rPr>
          <w:rFonts w:hint="eastAsia" w:ascii="仿宋" w:hAnsi="仿宋" w:eastAsia="仿宋" w:cs="仿宋"/>
          <w:color w:val="auto"/>
          <w:sz w:val="32"/>
          <w:szCs w:val="32"/>
          <w:shd w:val="clear" w:color="auto" w:fill="auto"/>
        </w:rPr>
        <w:t>年度部门决算编制范围的单位共</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个</w:t>
      </w:r>
      <w:r>
        <w:rPr>
          <w:rFonts w:hint="eastAsia" w:ascii="仿宋" w:hAnsi="仿宋" w:eastAsia="仿宋" w:cs="仿宋"/>
          <w:color w:val="auto"/>
          <w:sz w:val="32"/>
          <w:szCs w:val="32"/>
          <w:shd w:val="clear" w:color="auto" w:fill="auto"/>
          <w:lang w:eastAsia="zh-CN"/>
        </w:rPr>
        <w:t>。</w:t>
      </w:r>
    </w:p>
    <w:p>
      <w:pPr>
        <w:numPr>
          <w:ilvl w:val="0"/>
          <w:numId w:val="2"/>
        </w:numPr>
        <w:spacing w:line="578" w:lineRule="exact"/>
        <w:ind w:firstLine="640" w:firstLineChars="200"/>
        <w:rPr>
          <w:rFonts w:hint="eastAsia" w:ascii="仿宋" w:hAnsi="仿宋" w:eastAsia="仿宋" w:cs="仿宋"/>
          <w:color w:val="auto"/>
          <w:sz w:val="32"/>
          <w:szCs w:val="32"/>
          <w:shd w:val="clear" w:color="auto" w:fill="auto"/>
        </w:rPr>
      </w:pPr>
      <w:bookmarkStart w:id="19" w:name="_Toc24421_WPSOffice_Level2"/>
      <w:bookmarkStart w:id="20" w:name="_Toc25738_WPSOffice_Level2"/>
      <w:r>
        <w:rPr>
          <w:rFonts w:hint="eastAsia" w:ascii="仿宋" w:hAnsi="仿宋" w:eastAsia="仿宋" w:cs="仿宋"/>
          <w:color w:val="auto"/>
          <w:sz w:val="32"/>
          <w:szCs w:val="32"/>
          <w:shd w:val="clear" w:color="auto" w:fill="auto"/>
          <w:lang w:val="en-US" w:eastAsia="zh-CN"/>
        </w:rPr>
        <w:t>色尼区罗玛镇幼儿园</w:t>
      </w:r>
      <w:r>
        <w:rPr>
          <w:rFonts w:hint="eastAsia" w:ascii="仿宋" w:hAnsi="仿宋" w:eastAsia="仿宋" w:cs="仿宋"/>
          <w:color w:val="auto"/>
          <w:sz w:val="32"/>
          <w:szCs w:val="32"/>
          <w:shd w:val="clear" w:color="auto" w:fill="auto"/>
        </w:rPr>
        <w:t>部门本级</w:t>
      </w:r>
      <w:bookmarkEnd w:id="19"/>
      <w:bookmarkEnd w:id="20"/>
    </w:p>
    <w:p>
      <w:pPr>
        <w:numPr>
          <w:ilvl w:val="0"/>
          <w:numId w:val="0"/>
        </w:numPr>
        <w:spacing w:line="578" w:lineRule="exact"/>
        <w:rPr>
          <w:rFonts w:hint="default" w:ascii="方正楷体_GBK" w:hAnsi="方正楷体_GBK" w:eastAsia="方正楷体_GBK" w:cs="方正楷体_GBK"/>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 xml:space="preserve">统一社会信用代码12542421MB07632199， </w:t>
      </w:r>
      <w:r>
        <w:rPr>
          <w:rFonts w:hint="eastAsia" w:ascii="仿宋" w:hAnsi="仿宋" w:eastAsia="仿宋" w:cs="仿宋"/>
          <w:color w:val="auto"/>
          <w:sz w:val="32"/>
          <w:szCs w:val="32"/>
          <w:shd w:val="clear" w:color="auto" w:fill="auto"/>
        </w:rPr>
        <w:t>单位代码：</w:t>
      </w:r>
      <w:r>
        <w:rPr>
          <w:rFonts w:hint="eastAsia" w:ascii="仿宋" w:hAnsi="仿宋" w:eastAsia="仿宋" w:cs="仿宋"/>
          <w:color w:val="auto"/>
          <w:sz w:val="32"/>
          <w:szCs w:val="32"/>
          <w:shd w:val="clear" w:color="auto" w:fill="auto"/>
          <w:lang w:val="en-US" w:eastAsia="zh-CN"/>
        </w:rPr>
        <w:t>014031</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单位预算级次：</w:t>
      </w:r>
      <w:r>
        <w:rPr>
          <w:rFonts w:hint="eastAsia" w:ascii="仿宋" w:hAnsi="仿宋" w:eastAsia="仿宋" w:cs="仿宋"/>
          <w:color w:val="auto"/>
          <w:sz w:val="32"/>
          <w:szCs w:val="32"/>
          <w:shd w:val="clear" w:color="auto" w:fill="auto"/>
          <w:lang w:val="en-US" w:eastAsia="zh-CN"/>
        </w:rPr>
        <w:t>2；</w:t>
      </w:r>
      <w:r>
        <w:rPr>
          <w:rFonts w:hint="eastAsia" w:ascii="仿宋" w:hAnsi="仿宋" w:eastAsia="仿宋" w:cs="仿宋"/>
          <w:color w:val="auto"/>
          <w:sz w:val="32"/>
          <w:szCs w:val="32"/>
          <w:shd w:val="clear" w:color="auto" w:fill="auto"/>
        </w:rPr>
        <w:t>单位类型</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事业单位</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 xml:space="preserve"> 预算级次</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县区级</w:t>
      </w:r>
      <w:r>
        <w:rPr>
          <w:rFonts w:hint="eastAsia" w:ascii="仿宋" w:hAnsi="仿宋" w:eastAsia="仿宋" w:cs="仿宋"/>
          <w:color w:val="auto"/>
          <w:sz w:val="32"/>
          <w:szCs w:val="32"/>
          <w:shd w:val="clear" w:color="auto" w:fill="auto"/>
        </w:rPr>
        <w:t xml:space="preserve"> </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 xml:space="preserve">   </w:t>
      </w:r>
      <w:r>
        <w:rPr>
          <w:rFonts w:hint="eastAsia" w:ascii="方正楷体_GBK" w:hAnsi="方正楷体_GBK" w:eastAsia="方正楷体_GBK" w:cs="方正楷体_GBK"/>
          <w:color w:val="auto"/>
          <w:sz w:val="32"/>
          <w:szCs w:val="32"/>
          <w:shd w:val="clear" w:color="auto" w:fill="auto"/>
        </w:rPr>
        <w:t xml:space="preserve">         </w:t>
      </w:r>
    </w:p>
    <w:p>
      <w:pPr>
        <w:spacing w:line="578" w:lineRule="exact"/>
        <w:jc w:val="center"/>
        <w:rPr>
          <w:rFonts w:hint="eastAsia" w:ascii="黑体" w:hAnsi="ˎ̥" w:eastAsia="黑体"/>
          <w:color w:val="auto"/>
          <w:sz w:val="32"/>
          <w:szCs w:val="32"/>
          <w:shd w:val="clear" w:color="auto" w:fill="auto"/>
        </w:rPr>
      </w:pPr>
      <w:bookmarkStart w:id="21" w:name="_Toc8164_WPSOffice_Level1"/>
      <w:bookmarkStart w:id="22" w:name="_Toc6234_WPSOffice_Level1"/>
      <w:bookmarkStart w:id="23" w:name="_Toc15521_WPSOffice_Level1"/>
      <w:bookmarkStart w:id="24" w:name="_Toc30690_WPSOffice_Level1"/>
      <w:bookmarkStart w:id="25" w:name="_Toc30451_WPSOffice_Level1"/>
      <w:bookmarkStart w:id="26" w:name="_Toc28253_WPSOffice_Level1"/>
      <w:bookmarkStart w:id="27" w:name="_Toc11518_WPSOffice_Level2"/>
      <w:bookmarkStart w:id="28" w:name="_Toc6211_WPSOffice_Level2"/>
      <w:bookmarkStart w:id="29" w:name="_Toc8867_WPSOffice_Level2"/>
      <w:bookmarkStart w:id="30" w:name="_Toc4029_WPSOffice_Level2"/>
      <w:bookmarkStart w:id="31" w:name="_Toc32695_WPSOffice_Level2"/>
      <w:bookmarkStart w:id="32" w:name="_Toc32472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shd w:val="clear" w:color="auto" w:fill="auto"/>
        </w:rPr>
      </w:pPr>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shd w:val="clear" w:color="auto" w:fill="auto"/>
        </w:rPr>
      </w:pPr>
      <w:bookmarkStart w:id="33" w:name="_Toc23139_WPSOffice_Level2"/>
      <w:bookmarkStart w:id="34" w:name="_Toc14349_WPSOffice_Level2"/>
      <w:bookmarkStart w:id="35" w:name="_Toc26621_WPSOffice_Level2"/>
      <w:bookmarkStart w:id="36" w:name="_Toc28622_WPSOffice_Level2"/>
      <w:bookmarkStart w:id="37" w:name="_Toc30334_WPSOffice_Level2"/>
      <w:bookmarkStart w:id="38" w:name="_Toc25608_WPSOffice_Level2"/>
      <w:r>
        <w:rPr>
          <w:rFonts w:hint="eastAsia" w:ascii="黑体" w:hAnsi="黑体" w:eastAsia="黑体" w:cs="黑体"/>
          <w:color w:val="auto"/>
          <w:sz w:val="32"/>
          <w:szCs w:val="32"/>
          <w:shd w:val="clear" w:color="auto" w:fill="auto"/>
        </w:rPr>
        <w:t>二、收入决算公开表</w:t>
      </w:r>
      <w:bookmarkEnd w:id="33"/>
      <w:bookmarkEnd w:id="34"/>
      <w:bookmarkEnd w:id="35"/>
      <w:bookmarkEnd w:id="36"/>
      <w:bookmarkEnd w:id="37"/>
      <w:bookmarkEnd w:id="38"/>
      <w:bookmarkStart w:id="39" w:name="_Toc17626_WPSOffice_Level2"/>
      <w:bookmarkStart w:id="40" w:name="_Toc13854_WPSOffice_Level2"/>
      <w:bookmarkStart w:id="41" w:name="_Toc5489_WPSOffice_Level2"/>
      <w:bookmarkStart w:id="42" w:name="_Toc3262_WPSOffice_Level2"/>
      <w:bookmarkStart w:id="43" w:name="_Toc14658_WPSOffice_Level2"/>
      <w:bookmarkStart w:id="44" w:name="_Toc17858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三、支出决算公开表</w:t>
      </w:r>
      <w:bookmarkEnd w:id="39"/>
      <w:bookmarkEnd w:id="40"/>
      <w:bookmarkEnd w:id="41"/>
      <w:bookmarkEnd w:id="42"/>
      <w:bookmarkEnd w:id="43"/>
      <w:bookmarkEnd w:id="44"/>
      <w:bookmarkStart w:id="45" w:name="_Toc7988_WPSOffice_Level2"/>
      <w:bookmarkStart w:id="46" w:name="_Toc4265_WPSOffice_Level2"/>
      <w:bookmarkStart w:id="47" w:name="_Toc23591_WPSOffice_Level2"/>
      <w:bookmarkStart w:id="48" w:name="_Toc23493_WPSOffice_Level2"/>
      <w:bookmarkStart w:id="49" w:name="_Toc21415_WPSOffice_Level2"/>
      <w:bookmarkStart w:id="50" w:name="_Toc13701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shd w:val="clear" w:color="auto" w:fill="auto"/>
        </w:rPr>
      </w:pPr>
      <w:bookmarkStart w:id="51" w:name="_Toc7879_WPSOffice_Level2"/>
      <w:bookmarkStart w:id="52" w:name="_Toc23829_WPSOffice_Level2"/>
      <w:bookmarkStart w:id="53" w:name="_Toc22783_WPSOffice_Level2"/>
      <w:bookmarkStart w:id="54" w:name="_Toc25166_WPSOffice_Level2"/>
      <w:bookmarkStart w:id="55" w:name="_Toc13516_WPSOffice_Level2"/>
      <w:bookmarkStart w:id="56" w:name="_Toc2158_WPSOffice_Level2"/>
      <w:r>
        <w:rPr>
          <w:rFonts w:hint="eastAsia" w:ascii="黑体" w:hAnsi="黑体" w:eastAsia="黑体" w:cs="黑体"/>
          <w:color w:val="auto"/>
          <w:sz w:val="32"/>
          <w:szCs w:val="32"/>
          <w:shd w:val="clear" w:color="auto" w:fill="auto"/>
        </w:rPr>
        <w:t>五、一般公共预算财政拨款收入支出决算</w:t>
      </w:r>
      <w:bookmarkEnd w:id="51"/>
      <w:bookmarkEnd w:id="52"/>
      <w:bookmarkEnd w:id="53"/>
      <w:bookmarkEnd w:id="54"/>
      <w:r>
        <w:rPr>
          <w:rFonts w:hint="eastAsia" w:ascii="黑体" w:hAnsi="黑体" w:eastAsia="黑体" w:cs="黑体"/>
          <w:color w:val="auto"/>
          <w:sz w:val="32"/>
          <w:szCs w:val="32"/>
          <w:shd w:val="clear" w:color="auto" w:fill="auto"/>
        </w:rPr>
        <w:t>公开表</w:t>
      </w:r>
      <w:bookmarkEnd w:id="55"/>
      <w:bookmarkEnd w:id="56"/>
      <w:bookmarkStart w:id="57" w:name="_Toc5343_WPSOffice_Level2"/>
      <w:bookmarkStart w:id="58" w:name="_Toc17283_WPSOffice_Level2"/>
      <w:bookmarkStart w:id="59" w:name="_Toc8373_WPSOffice_Level2"/>
      <w:bookmarkStart w:id="60" w:name="_Toc17833_WPSOffice_Level2"/>
      <w:bookmarkStart w:id="61" w:name="_Toc25362_WPSOffice_Level2"/>
      <w:bookmarkStart w:id="62" w:name="_Toc2632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bookmarkStart w:id="63" w:name="_Toc13345_WPSOffice_Level2"/>
      <w:bookmarkStart w:id="64" w:name="_Toc5594_WPSOffice_Level2"/>
      <w:bookmarkStart w:id="65" w:name="_Toc21310_WPSOffice_Level2"/>
      <w:bookmarkStart w:id="66" w:name="_Toc1533_WPSOffice_Level2"/>
      <w:bookmarkStart w:id="67" w:name="_Toc6020_WPSOffice_Level2"/>
      <w:bookmarkStart w:id="68" w:name="_Toc11799_WPSOffice_Level2"/>
      <w:r>
        <w:rPr>
          <w:rFonts w:hint="eastAsia" w:ascii="黑体" w:hAnsi="黑体" w:eastAsia="黑体" w:cs="黑体"/>
          <w:color w:val="auto"/>
          <w:sz w:val="32"/>
          <w:szCs w:val="32"/>
          <w:shd w:val="clear" w:color="auto" w:fill="auto"/>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八、国有资本经营预算财政拨款收入支出决算公开表</w:t>
      </w:r>
    </w:p>
    <w:p>
      <w:pPr>
        <w:spacing w:line="578" w:lineRule="exact"/>
        <w:ind w:firstLine="640"/>
        <w:rPr>
          <w:rFonts w:hint="eastAsia" w:ascii="黑体" w:hAnsi="黑体" w:eastAsia="黑体" w:cs="黑体"/>
          <w:color w:val="auto"/>
          <w:sz w:val="32"/>
          <w:szCs w:val="32"/>
          <w:shd w:val="clear" w:color="auto" w:fill="auto"/>
        </w:rPr>
      </w:pPr>
      <w:bookmarkStart w:id="69" w:name="_Toc1820_WPSOffice_Level2"/>
      <w:bookmarkStart w:id="70" w:name="_Toc29886_WPSOffice_Level2"/>
      <w:bookmarkStart w:id="71" w:name="_Toc19961_WPSOffice_Level2"/>
      <w:bookmarkStart w:id="72" w:name="_Toc9377_WPSOffice_Level2"/>
      <w:r>
        <w:rPr>
          <w:rFonts w:hint="eastAsia" w:ascii="黑体" w:hAnsi="黑体" w:eastAsia="黑体" w:cs="黑体"/>
          <w:color w:val="auto"/>
          <w:sz w:val="32"/>
          <w:szCs w:val="32"/>
          <w:shd w:val="clear" w:color="auto" w:fill="auto"/>
        </w:rPr>
        <w:t>九、财政拨款“三公”经费支出决算</w:t>
      </w:r>
      <w:bookmarkEnd w:id="69"/>
      <w:bookmarkEnd w:id="70"/>
      <w:bookmarkEnd w:id="71"/>
      <w:bookmarkEnd w:id="72"/>
      <w:r>
        <w:rPr>
          <w:rFonts w:hint="eastAsia" w:ascii="黑体" w:hAnsi="黑体" w:eastAsia="黑体" w:cs="黑体"/>
          <w:color w:val="auto"/>
          <w:sz w:val="32"/>
          <w:szCs w:val="32"/>
          <w:shd w:val="clear" w:color="auto" w:fill="auto"/>
        </w:rPr>
        <w:t>公开表</w:t>
      </w:r>
    </w:p>
    <w:p>
      <w:pPr>
        <w:spacing w:line="578" w:lineRule="exact"/>
        <w:ind w:firstLine="640"/>
        <w:rPr>
          <w:rFonts w:hint="eastAsia" w:ascii="仿宋" w:hAnsi="仿宋" w:eastAsia="仿宋" w:cs="仿宋"/>
          <w:color w:val="auto"/>
          <w:w w:val="100"/>
          <w:sz w:val="32"/>
          <w:szCs w:val="32"/>
          <w:shd w:val="clear" w:color="auto" w:fill="auto"/>
        </w:rPr>
      </w:pPr>
      <w:r>
        <w:rPr>
          <w:rFonts w:hint="eastAsia" w:ascii="仿宋" w:hAnsi="仿宋" w:eastAsia="仿宋" w:cs="仿宋"/>
          <w:color w:val="auto"/>
          <w:w w:val="100"/>
          <w:sz w:val="32"/>
          <w:szCs w:val="32"/>
          <w:shd w:val="clear" w:color="auto" w:fill="auto"/>
        </w:rPr>
        <w:t xml:space="preserve">以上报表见附件1。   </w:t>
      </w:r>
    </w:p>
    <w:p>
      <w:pPr>
        <w:spacing w:line="578" w:lineRule="exact"/>
        <w:rPr>
          <w:rFonts w:hint="eastAsia" w:ascii="黑体" w:hAnsi="黑体" w:eastAsia="黑体" w:cs="黑体"/>
          <w:color w:val="auto"/>
          <w:sz w:val="32"/>
          <w:szCs w:val="32"/>
          <w:shd w:val="clear" w:color="auto" w:fill="auto"/>
        </w:rPr>
      </w:pPr>
    </w:p>
    <w:p>
      <w:pPr>
        <w:spacing w:line="578" w:lineRule="exact"/>
        <w:jc w:val="center"/>
        <w:rPr>
          <w:rFonts w:hint="eastAsia" w:ascii="黑体" w:hAnsi="ˎ̥" w:eastAsia="黑体"/>
          <w:color w:val="auto"/>
          <w:sz w:val="32"/>
          <w:szCs w:val="32"/>
          <w:shd w:val="clear" w:color="auto" w:fill="auto"/>
        </w:rPr>
      </w:pPr>
      <w:bookmarkStart w:id="73" w:name="_Toc27590_WPSOffice_Level1"/>
      <w:bookmarkStart w:id="74" w:name="_Toc29683_WPSOffice_Level1"/>
      <w:bookmarkStart w:id="75" w:name="_Toc4402_WPSOffice_Level1"/>
      <w:bookmarkStart w:id="76" w:name="_Toc28629_WPSOffice_Level1"/>
      <w:bookmarkStart w:id="77" w:name="_Toc31264_WPSOffice_Level1"/>
      <w:bookmarkStart w:id="78" w:name="_Toc16686_WPSOffice_Level1"/>
      <w:r>
        <w:rPr>
          <w:rFonts w:hint="eastAsia" w:ascii="黑体" w:hAnsi="ˎ̥" w:eastAsia="黑体"/>
          <w:color w:val="auto"/>
          <w:sz w:val="32"/>
          <w:szCs w:val="32"/>
          <w:shd w:val="clear" w:color="auto" w:fill="auto"/>
        </w:rPr>
        <w:t xml:space="preserve">第三部分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一、收入支出总体情况说明</w:t>
      </w:r>
      <w:r>
        <w:rPr>
          <w:rFonts w:hint="eastAsia" w:ascii="黑体" w:hAnsi="黑体" w:eastAsia="黑体" w:cs="黑体"/>
          <w:bCs/>
          <w:color w:val="auto"/>
          <w:sz w:val="32"/>
          <w:szCs w:val="32"/>
          <w:shd w:val="clear" w:color="auto" w:fill="auto"/>
        </w:rPr>
        <w:br w:type="textWrapping"/>
      </w:r>
      <w:r>
        <w:rPr>
          <w:rFonts w:hint="eastAsia" w:ascii="楷体_GB2312" w:hAnsi="ˎ̥" w:eastAsia="楷体_GB2312"/>
          <w:color w:val="auto"/>
          <w:sz w:val="32"/>
          <w:szCs w:val="32"/>
          <w:shd w:val="clear" w:color="auto" w:fill="auto"/>
        </w:rPr>
        <w:t xml:space="preserve">    </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年度收入总计</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万元，支出总计</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万元，与202</w:t>
      </w:r>
      <w:r>
        <w:rPr>
          <w:rFonts w:hint="eastAsia" w:ascii="仿宋_GB2312" w:hAnsi="ˎ̥" w:eastAsia="仿宋_GB2312"/>
          <w:color w:val="auto"/>
          <w:sz w:val="32"/>
          <w:szCs w:val="32"/>
          <w:shd w:val="clear" w:color="auto" w:fill="auto"/>
          <w:lang w:val="en-US" w:eastAsia="zh-CN"/>
        </w:rPr>
        <w:t>3</w:t>
      </w:r>
      <w:r>
        <w:rPr>
          <w:rFonts w:hint="eastAsia" w:ascii="仿宋_GB2312" w:hAnsi="ˎ̥" w:eastAsia="仿宋_GB2312"/>
          <w:color w:val="auto"/>
          <w:sz w:val="32"/>
          <w:szCs w:val="32"/>
          <w:shd w:val="clear" w:color="auto" w:fill="auto"/>
        </w:rPr>
        <w:t>年度相比，收入、支出总计各增加</w:t>
      </w:r>
      <w:r>
        <w:rPr>
          <w:rFonts w:hint="eastAsia" w:ascii="仿宋_GB2312" w:hAnsi="ˎ̥" w:eastAsia="仿宋_GB2312"/>
          <w:color w:val="auto"/>
          <w:sz w:val="32"/>
          <w:szCs w:val="32"/>
          <w:shd w:val="clear" w:color="auto" w:fill="auto"/>
          <w:lang w:val="en-US" w:eastAsia="zh-CN"/>
        </w:rPr>
        <w:t>272.86</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收入</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w:t>
      </w:r>
      <w:r>
        <w:rPr>
          <w:rFonts w:ascii="仿宋_GB2312" w:hAnsi="ˎ̥" w:eastAsia="仿宋_GB2312"/>
          <w:color w:val="auto"/>
          <w:sz w:val="32"/>
          <w:szCs w:val="32"/>
          <w:shd w:val="clear" w:color="auto" w:fill="auto"/>
        </w:rPr>
        <w:t>收入</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使用非财政拨款结余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lang w:eastAsia="zh-CN"/>
        </w:rPr>
      </w:pPr>
      <w:r>
        <w:rPr>
          <w:rFonts w:hint="eastAsia" w:ascii="楷体" w:hAnsi="楷体" w:eastAsia="楷体" w:cs="楷体"/>
          <w:color w:val="auto"/>
          <w:sz w:val="32"/>
          <w:szCs w:val="32"/>
          <w:shd w:val="clear" w:color="auto" w:fill="auto"/>
        </w:rPr>
        <w:t>（二</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支出</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结余分配</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主要是无结转资金，较2023年决算数增加0万元，增长0%，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较2023年决算数增加0万元，增长0%，</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年度相关决算数据可取自附件财决公开01、02</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03</w:t>
      </w:r>
      <w:r>
        <w:rPr>
          <w:rFonts w:hint="eastAsia" w:ascii="仿宋_GB2312" w:hAnsi="ˎ̥" w:eastAsia="仿宋_GB2312"/>
          <w:color w:val="auto"/>
          <w:sz w:val="32"/>
          <w:szCs w:val="32"/>
          <w:shd w:val="clear" w:color="auto" w:fill="auto"/>
        </w:rPr>
        <w:t>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年度相关决算数据可取自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年度部门决算报表财决01表《收入支出决算总表》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二、收入决算情况说明</w:t>
      </w:r>
      <w:r>
        <w:rPr>
          <w:rFonts w:hint="eastAsia" w:ascii="黑体" w:hAnsi="黑体" w:eastAsia="黑体" w:cs="黑体"/>
          <w:bCs/>
          <w:color w:val="auto"/>
          <w:sz w:val="32"/>
          <w:szCs w:val="32"/>
          <w:shd w:val="clear" w:color="auto" w:fill="auto"/>
        </w:rPr>
        <w:br w:type="textWrapping"/>
      </w:r>
      <w:r>
        <w:rPr>
          <w:rFonts w:hint="eastAsia" w:ascii="仿宋_GB2312" w:hAnsi="ˎ̥" w:eastAsia="仿宋_GB2312"/>
          <w:color w:val="auto"/>
          <w:sz w:val="32"/>
          <w:szCs w:val="32"/>
          <w:shd w:val="clear" w:color="auto" w:fill="auto"/>
        </w:rPr>
        <w:t xml:space="preserve">    本年收入</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万元，其中：财政拨款收入</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%；上级补助收入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%；事业收入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%；附属单位上缴收入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%；其他收入</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上述各项收入数可取自财决公开02表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万元，其中：基本支出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%；项目支出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%；上缴上级支出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%；对附属单位补助支出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上述各项支出数可取自财决公开03表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年度财政拨款收入</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万元，支出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与2023年度相比，财政拨款收入增加272.86万元，增长100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财政拨款年初结转结余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shd w:val="clear" w:color="auto" w:fill="auto"/>
        </w:rPr>
      </w:pPr>
      <w:r>
        <w:rPr>
          <w:rFonts w:hint="eastAsia" w:ascii="仿宋_GB2312" w:hAnsi="ˎ̥" w:eastAsia="仿宋_GB2312"/>
          <w:color w:val="auto"/>
          <w:sz w:val="32"/>
          <w:szCs w:val="32"/>
          <w:shd w:val="clear" w:color="auto" w:fill="auto"/>
        </w:rPr>
        <w:t>财政拨款年末结转结余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highlight w:val="none"/>
          <w:shd w:val="clear" w:color="auto" w:fill="auto"/>
          <w:lang w:val="en-US" w:eastAsia="zh-CN"/>
        </w:rPr>
        <w:t>是无结转资金</w:t>
      </w:r>
      <w:r>
        <w:rPr>
          <w:rFonts w:hint="eastAsia" w:ascii="仿宋_GB2312" w:hAnsi="ˎ̥"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年度决算相关数据可取自财决公开04表。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年度决算相关数据可取自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年度部门决算报表财决01-1表《财政拨款收入支出决算总表》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79" w:name="_Toc19665_WPSOffice_Level2"/>
      <w:bookmarkStart w:id="80" w:name="_Toc9989_WPSOffice_Level2"/>
      <w:bookmarkStart w:id="81" w:name="_Toc17398_WPSOffice_Level2"/>
      <w:bookmarkStart w:id="82" w:name="_Toc13694_WPSOffice_Level2"/>
      <w:bookmarkStart w:id="83" w:name="_Toc23005_WPSOffice_Level2"/>
      <w:bookmarkStart w:id="84" w:name="_Toc21737_WPSOffice_Level2"/>
      <w:r>
        <w:rPr>
          <w:rFonts w:hint="eastAsia" w:ascii="楷体" w:hAnsi="楷体" w:eastAsia="楷体" w:cs="楷体"/>
          <w:color w:val="auto"/>
          <w:sz w:val="32"/>
          <w:szCs w:val="32"/>
          <w:shd w:val="clear" w:color="auto" w:fill="auto"/>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年度相比，一般公共预算财政拨款支出增加</w:t>
      </w:r>
      <w:r>
        <w:rPr>
          <w:rFonts w:hint="eastAsia" w:ascii="仿宋_GB2312" w:hAnsi="ˎ̥" w:eastAsia="仿宋_GB2312"/>
          <w:color w:val="auto"/>
          <w:sz w:val="32"/>
          <w:szCs w:val="32"/>
          <w:shd w:val="clear" w:color="auto" w:fill="auto"/>
          <w:lang w:val="en-US" w:eastAsia="zh-CN"/>
        </w:rPr>
        <w:t>272.86</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85" w:name="_Toc27767_WPSOffice_Level2"/>
      <w:bookmarkStart w:id="86" w:name="_Toc19075_WPSOffice_Level2"/>
      <w:bookmarkStart w:id="87" w:name="_Toc23864_WPSOffice_Level2"/>
      <w:bookmarkStart w:id="88" w:name="_Toc18793_WPSOffice_Level2"/>
      <w:bookmarkStart w:id="89" w:name="_Toc2711_WPSOffice_Level2"/>
      <w:bookmarkStart w:id="90" w:name="_Toc19535_WPSOffice_Level2"/>
      <w:r>
        <w:rPr>
          <w:rFonts w:hint="eastAsia" w:ascii="楷体" w:hAnsi="楷体" w:eastAsia="楷体" w:cs="楷体"/>
          <w:color w:val="auto"/>
          <w:sz w:val="32"/>
          <w:szCs w:val="32"/>
          <w:shd w:val="clear" w:color="auto" w:fill="auto"/>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万元，主要用于以下方面：</w:t>
      </w: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237.47</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87.02</w:t>
      </w:r>
      <w:r>
        <w:rPr>
          <w:rFonts w:hint="eastAsia" w:ascii="仿宋_GB2312" w:hAnsi="ˎ̥" w:eastAsia="仿宋_GB2312"/>
          <w:color w:val="auto"/>
          <w:sz w:val="32"/>
          <w:szCs w:val="32"/>
          <w:shd w:val="clear" w:color="auto" w:fill="auto"/>
        </w:rPr>
        <w:t>%；</w:t>
      </w:r>
      <w:r>
        <w:rPr>
          <w:rFonts w:hint="eastAsia" w:ascii="仿宋_GB2312" w:hAnsi="ˎ̥" w:eastAsia="仿宋_GB2312"/>
          <w:b/>
          <w:color w:val="auto"/>
          <w:sz w:val="32"/>
          <w:szCs w:val="32"/>
          <w:shd w:val="clear" w:color="auto" w:fill="auto"/>
        </w:rPr>
        <w:t>社会保障和就业（类）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20.71</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7.58</w:t>
      </w:r>
      <w:r>
        <w:rPr>
          <w:rFonts w:hint="eastAsia" w:ascii="仿宋_GB2312" w:hAnsi="ˎ̥" w:eastAsia="仿宋_GB2312"/>
          <w:color w:val="auto"/>
          <w:sz w:val="32"/>
          <w:szCs w:val="32"/>
          <w:shd w:val="clear" w:color="auto" w:fill="auto"/>
        </w:rPr>
        <w:t>%；</w:t>
      </w:r>
      <w:r>
        <w:rPr>
          <w:rFonts w:hint="eastAsia" w:ascii="仿宋_GB2312" w:hAnsi="ˎ̥" w:eastAsia="仿宋_GB2312"/>
          <w:b/>
          <w:bCs/>
          <w:color w:val="auto"/>
          <w:sz w:val="32"/>
          <w:szCs w:val="32"/>
          <w:shd w:val="clear" w:color="auto" w:fill="auto"/>
        </w:rPr>
        <w:t>住房保障（类）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5.07</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1.85</w:t>
      </w:r>
      <w:r>
        <w:rPr>
          <w:rFonts w:hint="eastAsia" w:ascii="仿宋_GB2312" w:hAnsi="ˎ̥" w:eastAsia="仿宋_GB2312"/>
          <w:color w:val="auto"/>
          <w:sz w:val="32"/>
          <w:szCs w:val="32"/>
          <w:shd w:val="clear" w:color="auto" w:fill="auto"/>
        </w:rPr>
        <w:t>%；</w:t>
      </w:r>
      <w:r>
        <w:rPr>
          <w:rFonts w:hint="eastAsia" w:ascii="仿宋_GB2312" w:hAnsi="ˎ̥" w:eastAsia="仿宋_GB2312"/>
          <w:b/>
          <w:bCs/>
          <w:color w:val="auto"/>
          <w:sz w:val="32"/>
          <w:szCs w:val="32"/>
          <w:shd w:val="clear" w:color="auto" w:fill="auto"/>
          <w:lang w:val="en-US" w:eastAsia="zh-CN"/>
        </w:rPr>
        <w:t>卫生健康支出9.61</w:t>
      </w:r>
      <w:r>
        <w:rPr>
          <w:rFonts w:hint="eastAsia" w:ascii="仿宋_GB2312" w:hAnsi="ˎ̥" w:eastAsia="仿宋_GB2312"/>
          <w:b w:val="0"/>
          <w:bCs w:val="0"/>
          <w:color w:val="auto"/>
          <w:sz w:val="32"/>
          <w:szCs w:val="32"/>
          <w:shd w:val="clear" w:color="auto" w:fill="auto"/>
          <w:lang w:val="en-US" w:eastAsia="zh-CN"/>
        </w:rPr>
        <w:t>万元，占3.52</w:t>
      </w:r>
      <w:r>
        <w:rPr>
          <w:rFonts w:hint="eastAsia" w:ascii="仿宋_GB2312" w:hAnsi="ˎ̥" w:eastAsia="仿宋_GB2312"/>
          <w:b w:val="0"/>
          <w:bCs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91" w:name="_Toc29364_WPSOffice_Level2"/>
      <w:bookmarkStart w:id="92" w:name="_Toc9502_WPSOffice_Level2"/>
      <w:bookmarkStart w:id="93" w:name="_Toc25136_WPSOffice_Level2"/>
      <w:bookmarkStart w:id="94" w:name="_Toc21701_WPSOffice_Level2"/>
      <w:bookmarkStart w:id="95" w:name="_Toc22318_WPSOffice_Level2"/>
      <w:bookmarkStart w:id="96" w:name="_Toc15415_WPSOffice_Level2"/>
      <w:r>
        <w:rPr>
          <w:rFonts w:hint="eastAsia" w:ascii="楷体" w:hAnsi="楷体" w:eastAsia="楷体" w:cs="楷体"/>
          <w:color w:val="auto"/>
          <w:sz w:val="32"/>
          <w:szCs w:val="32"/>
          <w:shd w:val="clear" w:color="auto" w:fill="auto"/>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年度一般公共预算财政拨款支出年初预算为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%。其中：</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年初预算为237.47</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决算支出为237.47万元，完成年初预算的100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lang w:val="en-US" w:eastAsia="zh-CN"/>
        </w:rPr>
        <w:t>2.</w:t>
      </w:r>
      <w:r>
        <w:rPr>
          <w:rFonts w:hint="eastAsia" w:ascii="仿宋_GB2312" w:hAnsi="ˎ̥" w:eastAsia="仿宋_GB2312"/>
          <w:b/>
          <w:color w:val="auto"/>
          <w:sz w:val="32"/>
          <w:szCs w:val="32"/>
          <w:shd w:val="clear" w:color="auto" w:fill="auto"/>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年初预算为20.71</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决算支出为20.71万元，完成年初预算的100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rPr>
      </w:pPr>
      <w:r>
        <w:rPr>
          <w:rFonts w:hint="eastAsia" w:ascii="仿宋_GB2312" w:hAnsi="ˎ̥" w:eastAsia="仿宋_GB2312"/>
          <w:b/>
          <w:bCs/>
          <w:color w:val="auto"/>
          <w:sz w:val="32"/>
          <w:szCs w:val="32"/>
          <w:shd w:val="clear" w:color="auto" w:fill="auto"/>
          <w:lang w:val="en-US" w:eastAsia="zh-CN"/>
        </w:rPr>
        <w:t>3.</w:t>
      </w:r>
      <w:r>
        <w:rPr>
          <w:rFonts w:hint="eastAsia" w:ascii="仿宋_GB2312" w:hAnsi="ˎ̥" w:eastAsia="仿宋_GB2312"/>
          <w:b/>
          <w:bCs/>
          <w:color w:val="auto"/>
          <w:sz w:val="32"/>
          <w:szCs w:val="32"/>
          <w:shd w:val="clear" w:color="auto" w:fill="auto"/>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年初预算为5.07</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决算支出为5.07</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lang w:val="en-US" w:eastAsia="zh-CN"/>
        </w:rPr>
      </w:pPr>
      <w:r>
        <w:rPr>
          <w:rFonts w:hint="eastAsia" w:ascii="仿宋_GB2312" w:hAnsi="ˎ̥" w:eastAsia="仿宋_GB2312"/>
          <w:b/>
          <w:bCs/>
          <w:color w:val="auto"/>
          <w:sz w:val="32"/>
          <w:szCs w:val="32"/>
          <w:shd w:val="clear" w:color="auto" w:fill="auto"/>
          <w:lang w:val="en-US" w:eastAsia="zh-CN"/>
        </w:rPr>
        <w:t>4.卫生健康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w:t>
      </w:r>
      <w:r>
        <w:rPr>
          <w:rFonts w:hint="eastAsia" w:ascii="仿宋_GB2312" w:hAnsi="ˎ̥" w:eastAsia="仿宋_GB2312"/>
          <w:b/>
          <w:bCs/>
          <w:color w:val="auto"/>
          <w:sz w:val="32"/>
          <w:szCs w:val="32"/>
          <w:shd w:val="clear" w:color="auto" w:fill="auto"/>
          <w:lang w:val="en-US" w:eastAsia="zh-CN"/>
        </w:rPr>
        <w:t>9.61</w:t>
      </w:r>
      <w:r>
        <w:rPr>
          <w:rFonts w:hint="eastAsia" w:ascii="仿宋_GB2312" w:hAnsi="ˎ̥" w:eastAsia="仿宋_GB2312"/>
          <w:b w:val="0"/>
          <w:bCs w:val="0"/>
          <w:color w:val="auto"/>
          <w:sz w:val="32"/>
          <w:szCs w:val="32"/>
          <w:shd w:val="clear" w:color="auto" w:fill="auto"/>
          <w:lang w:val="en-US" w:eastAsia="zh-CN"/>
        </w:rPr>
        <w:t>万元，</w:t>
      </w:r>
      <w:r>
        <w:rPr>
          <w:rFonts w:hint="eastAsia" w:ascii="仿宋_GB2312" w:hAnsi="ˎ̥" w:eastAsia="仿宋_GB2312"/>
          <w:color w:val="auto"/>
          <w:sz w:val="32"/>
          <w:szCs w:val="32"/>
          <w:shd w:val="clear" w:color="auto" w:fill="auto"/>
          <w:lang w:val="en-US" w:eastAsia="zh-CN"/>
        </w:rPr>
        <w:t>决算支出为</w:t>
      </w:r>
      <w:r>
        <w:rPr>
          <w:rFonts w:hint="eastAsia" w:ascii="仿宋_GB2312" w:hAnsi="ˎ̥" w:eastAsia="仿宋_GB2312"/>
          <w:b/>
          <w:bCs/>
          <w:color w:val="auto"/>
          <w:sz w:val="32"/>
          <w:szCs w:val="32"/>
          <w:shd w:val="clear" w:color="auto" w:fill="auto"/>
          <w:lang w:val="en-US" w:eastAsia="zh-CN"/>
        </w:rPr>
        <w:t>9.61</w:t>
      </w:r>
      <w:r>
        <w:rPr>
          <w:rFonts w:hint="eastAsia" w:ascii="仿宋_GB2312" w:hAnsi="ˎ̥" w:eastAsia="仿宋_GB2312"/>
          <w:b w:val="0"/>
          <w:bCs w:val="0"/>
          <w:color w:val="auto"/>
          <w:sz w:val="32"/>
          <w:szCs w:val="32"/>
          <w:shd w:val="clear" w:color="auto" w:fill="auto"/>
          <w:lang w:val="en-US" w:eastAsia="zh-CN"/>
        </w:rPr>
        <w:t>万元，</w:t>
      </w:r>
      <w:r>
        <w:rPr>
          <w:rFonts w:hint="eastAsia" w:ascii="仿宋_GB2312" w:hAnsi="ˎ̥" w:eastAsia="仿宋_GB2312"/>
          <w:color w:val="auto"/>
          <w:sz w:val="32"/>
          <w:szCs w:val="32"/>
          <w:shd w:val="clear" w:color="auto" w:fill="auto"/>
          <w:lang w:val="en-US" w:eastAsia="zh-CN"/>
        </w:rPr>
        <w:t>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本部分支出决算数可取自财决公开05表，年初预算数可取自各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单位年初预算大本，根据实际支出涉及的支出功能分类项级科目填列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shd w:val="clear" w:color="auto" w:fill="auto"/>
        </w:rPr>
      </w:pPr>
      <w:r>
        <w:rPr>
          <w:rFonts w:hint="eastAsia" w:ascii="黑体" w:hAnsi="黑体" w:eastAsia="黑体" w:cs="黑体"/>
          <w:bCs/>
          <w:color w:val="auto"/>
          <w:sz w:val="32"/>
          <w:szCs w:val="32"/>
          <w:shd w:val="clear" w:color="auto" w:fill="auto"/>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年度财政拨款基本支出</w:t>
      </w:r>
      <w:r>
        <w:rPr>
          <w:rFonts w:hint="eastAsia"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万元，其中：人员经费</w:t>
      </w:r>
      <w:r>
        <w:rPr>
          <w:rFonts w:ascii="仿宋_GB2312" w:hAnsi="ˎ̥" w:eastAsia="仿宋_GB2312"/>
          <w:color w:val="auto"/>
          <w:sz w:val="32"/>
          <w:szCs w:val="32"/>
          <w:lang w:val="en-US"/>
        </w:rPr>
        <w:t>266.51</w:t>
      </w:r>
      <w:r>
        <w:rPr>
          <w:rFonts w:hint="eastAsia" w:ascii="仿宋_GB2312" w:hAnsi="ˎ̥" w:eastAsia="仿宋_GB2312"/>
          <w:color w:val="auto"/>
          <w:sz w:val="32"/>
          <w:szCs w:val="32"/>
          <w:shd w:val="clear" w:color="auto" w:fill="auto"/>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6.36</w:t>
      </w:r>
      <w:r>
        <w:rPr>
          <w:rFonts w:hint="eastAsia" w:ascii="仿宋_GB2312" w:hAnsi="ˎ̥" w:eastAsia="仿宋_GB2312"/>
          <w:color w:val="auto"/>
          <w:sz w:val="32"/>
          <w:szCs w:val="32"/>
          <w:shd w:val="clear" w:color="auto" w:fill="auto"/>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shd w:val="clear" w:color="auto" w:fill="auto"/>
          <w:lang w:val="en-US" w:eastAsia="zh-CN"/>
        </w:rPr>
        <w:t>购</w:t>
      </w:r>
      <w:r>
        <w:rPr>
          <w:rFonts w:hint="eastAsia" w:ascii="仿宋_GB2312" w:hAnsi="ˎ̥" w:eastAsia="仿宋_GB2312"/>
          <w:color w:val="auto"/>
          <w:sz w:val="32"/>
          <w:szCs w:val="32"/>
          <w:shd w:val="clear" w:color="auto" w:fill="auto"/>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可取自财决公开06表，各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年度相比，政府性基金预算财政拨款支出增加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%。决算数大于预算数的主要原因：一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决算相关数据取自财决公开07表；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lang w:val="en-US" w:eastAsia="zh-CN"/>
        </w:rPr>
        <w:t>年度部门决算报表</w:t>
      </w:r>
      <w:r>
        <w:rPr>
          <w:rFonts w:hint="eastAsia" w:ascii="仿宋_GB2312" w:hAnsi="ˎ̥" w:eastAsia="仿宋_GB2312"/>
          <w:color w:val="auto"/>
          <w:sz w:val="32"/>
          <w:szCs w:val="32"/>
          <w:shd w:val="clear" w:color="auto" w:fill="auto"/>
        </w:rPr>
        <w:t>财决09表《政府性基金预算财政拨款收入支出决算表》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年度相比，国有资本经营预算财政拨款支出增加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color w:val="auto"/>
          <w:sz w:val="32"/>
          <w:szCs w:val="32"/>
          <w:shd w:val="clear" w:color="auto" w:fill="auto"/>
        </w:rPr>
        <w:t>1.</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%。决算数大于（小于）预算数的主要原因：</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决算相关数据取自财决公开08表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shd w:val="clear" w:color="auto" w:fill="auto"/>
        </w:rPr>
      </w:pPr>
      <w:r>
        <w:rPr>
          <w:rFonts w:hint="eastAsia" w:ascii="黑体" w:hAnsi="黑体" w:eastAsia="黑体" w:cs="黑体"/>
          <w:bCs/>
          <w:color w:val="auto"/>
          <w:sz w:val="32"/>
          <w:szCs w:val="32"/>
          <w:shd w:val="clear" w:color="auto" w:fill="auto"/>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年度财政拨款“三公”经费支出预算为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“三公”经费支出增加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shd w:val="clear" w:color="auto" w:fill="auto"/>
        </w:rPr>
      </w:pPr>
      <w:r>
        <w:rPr>
          <w:rFonts w:hint="eastAsia" w:ascii="仿宋_GB2312" w:hAnsi="ˎ̥" w:eastAsia="仿宋_GB2312"/>
          <w:b/>
          <w:color w:val="auto"/>
          <w:sz w:val="32"/>
          <w:szCs w:val="32"/>
          <w:shd w:val="clear" w:color="auto" w:fill="auto"/>
        </w:rPr>
        <w:t xml:space="preserve">  </w:t>
      </w:r>
      <w:r>
        <w:rPr>
          <w:rFonts w:hint="eastAsia" w:ascii="楷体" w:hAnsi="楷体" w:eastAsia="楷体" w:cs="楷体"/>
          <w:color w:val="auto"/>
          <w:sz w:val="32"/>
          <w:szCs w:val="32"/>
          <w:shd w:val="clear" w:color="auto" w:fill="auto"/>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年度财政拨款“三公”经费支出决算中，因公出国（境）费支出决算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%；公务用车购置及运行维护费支出决算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%；公务接待费支出决算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1.因公出国（境）费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万元。全年安排因公出国（境）团组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个，因公出国（境）</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因公出国（境）费支出决算</w:t>
      </w:r>
      <w:r>
        <w:rPr>
          <w:rFonts w:hint="eastAsia" w:ascii="仿宋_GB2312" w:hAnsi="ˎ̥" w:eastAsia="仿宋_GB2312"/>
          <w:color w:val="auto"/>
          <w:sz w:val="32"/>
          <w:szCs w:val="32"/>
          <w:shd w:val="clear" w:color="auto" w:fill="auto"/>
          <w:lang w:val="en-US" w:eastAsia="zh-CN"/>
        </w:rPr>
        <w:t>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default"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因公出国（境）费支出增加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2.公务用车购置及运行维护费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公务用车购置</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万元，全年购置公务用车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年末公务用车保有量</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公务用车运行维护费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公务用车购置及运行维护费支出决算数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公务用车购置及运行维护费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3.公务接待费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国内接待费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万元，国内公务接待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bCs/>
          <w:color w:val="auto"/>
          <w:sz w:val="32"/>
          <w:szCs w:val="32"/>
          <w:shd w:val="clear" w:color="auto" w:fill="auto"/>
        </w:rPr>
        <w:t>国（境）外接待费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万元，国（境）外公务接待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公务接待费支出决算数比预算数增加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公务接待费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w:t>
      </w:r>
      <w:r>
        <w:rPr>
          <w:rFonts w:ascii="仿宋_GB2312" w:hAnsi="ˎ̥" w:eastAsia="仿宋_GB2312"/>
          <w:color w:val="auto"/>
          <w:sz w:val="32"/>
          <w:szCs w:val="32"/>
          <w:shd w:val="clear" w:color="auto" w:fill="auto"/>
        </w:rPr>
        <w:t>数据</w:t>
      </w:r>
      <w:r>
        <w:rPr>
          <w:rFonts w:hint="eastAsia" w:ascii="仿宋_GB2312" w:hAnsi="ˎ̥" w:eastAsia="仿宋_GB2312"/>
          <w:color w:val="auto"/>
          <w:sz w:val="32"/>
          <w:szCs w:val="32"/>
          <w:shd w:val="clear" w:color="auto" w:fill="auto"/>
        </w:rPr>
        <w:t>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部门决算报表</w:t>
      </w:r>
      <w:r>
        <w:rPr>
          <w:rFonts w:hint="eastAsia" w:ascii="仿宋_GB2312" w:hAnsi="ˎ̥" w:eastAsia="仿宋_GB2312"/>
          <w:color w:val="auto"/>
          <w:sz w:val="32"/>
          <w:szCs w:val="32"/>
          <w:shd w:val="clear" w:color="auto" w:fill="auto"/>
        </w:rPr>
        <w:t>F03表《机构</w:t>
      </w:r>
      <w:r>
        <w:rPr>
          <w:rFonts w:ascii="仿宋_GB2312" w:hAnsi="ˎ̥" w:eastAsia="仿宋_GB2312"/>
          <w:color w:val="auto"/>
          <w:sz w:val="32"/>
          <w:szCs w:val="32"/>
          <w:shd w:val="clear" w:color="auto" w:fill="auto"/>
        </w:rPr>
        <w:t>运行信息表》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根据财政预算绩效管理要求，可按照如下格式说明：根据预算管理要求，我部门（单位）组织对</w:t>
      </w:r>
      <w:r>
        <w:rPr>
          <w:rFonts w:hint="default" w:ascii="仿宋_GB2312" w:eastAsia="仿宋_GB2312"/>
          <w:color w:val="auto"/>
          <w:sz w:val="32"/>
          <w:szCs w:val="32"/>
          <w:shd w:val="clear" w:color="auto" w:fill="auto"/>
          <w:lang w:val="en-US"/>
        </w:rPr>
        <w:t>2024</w:t>
      </w:r>
      <w:r>
        <w:rPr>
          <w:rFonts w:hint="eastAsia" w:ascii="仿宋_GB2312" w:eastAsia="仿宋_GB2312"/>
          <w:color w:val="auto"/>
          <w:sz w:val="32"/>
          <w:szCs w:val="32"/>
          <w:shd w:val="clear" w:color="auto" w:fill="auto"/>
        </w:rPr>
        <w:t>年度一般公共预算项目支出全面开展绩效自评</w:t>
      </w:r>
      <w:r>
        <w:rPr>
          <w:rFonts w:hint="default" w:ascii="仿宋_GB2312" w:eastAsia="仿宋_GB2312"/>
          <w:color w:val="auto"/>
          <w:sz w:val="32"/>
          <w:szCs w:val="32"/>
          <w:shd w:val="clear" w:color="auto" w:fill="auto"/>
          <w:lang w:val="en-US"/>
        </w:rPr>
        <w:t>,</w:t>
      </w:r>
      <w:r>
        <w:rPr>
          <w:rFonts w:hint="eastAsia" w:ascii="仿宋_GB2312" w:eastAsia="仿宋_GB2312"/>
          <w:color w:val="auto"/>
          <w:sz w:val="32"/>
          <w:szCs w:val="32"/>
          <w:shd w:val="clear" w:color="auto" w:fill="auto"/>
          <w:lang w:val="en-US" w:eastAsia="zh-CN"/>
        </w:rPr>
        <w:t>共涉及资金0万元，占一般公共预算项目支出总额的0%</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个政府性基金预算项目开展绩效自评，共涉及资金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万元，占政府性基金预算项目支出总额的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个国有资本经营预算项目开展绩效自评，共涉及资金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万元，占国有资本经营预算项目支出总额的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共组织对“</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”等</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个项目开展了部门评价，</w:t>
      </w:r>
      <w:r>
        <w:rPr>
          <w:rFonts w:hint="eastAsia" w:ascii="仿宋_GB2312" w:eastAsia="仿宋_GB2312"/>
          <w:color w:val="auto"/>
          <w:sz w:val="32"/>
          <w:szCs w:val="32"/>
          <w:shd w:val="clear" w:color="auto" w:fill="auto"/>
          <w:lang w:bidi="ar"/>
        </w:rPr>
        <w:t>涉及一般公共预算支出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万元，政府性基金预算支出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万元，国有资本经营预算支出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w:t>
      </w:r>
      <w:r>
        <w:rPr>
          <w:rFonts w:hint="eastAsia" w:ascii="仿宋_GB2312" w:eastAsia="仿宋_GB2312"/>
          <w:color w:val="auto"/>
          <w:sz w:val="32"/>
          <w:szCs w:val="32"/>
          <w:shd w:val="clear" w:color="auto" w:fill="auto"/>
        </w:rPr>
        <w:t>从评价情况来看，</w:t>
      </w:r>
      <w:r>
        <w:rPr>
          <w:rFonts w:hint="eastAsia" w:ascii="仿宋_GB2312" w:eastAsia="仿宋_GB2312"/>
          <w:color w:val="auto"/>
          <w:sz w:val="32"/>
          <w:szCs w:val="32"/>
          <w:shd w:val="clear" w:color="auto" w:fill="auto"/>
          <w:lang w:val="en-US" w:eastAsia="zh-CN"/>
        </w:rPr>
        <w:t>未开展此项工作，具体原因：一是</w:t>
      </w:r>
      <w:r>
        <w:rPr>
          <w:rFonts w:hint="eastAsia" w:ascii="仿宋_GB2312" w:hAnsi="ˎ̥" w:eastAsia="仿宋_GB2312"/>
          <w:color w:val="auto"/>
          <w:sz w:val="32"/>
          <w:szCs w:val="32"/>
          <w:shd w:val="clear" w:color="auto" w:fill="auto"/>
          <w:lang w:val="en-US" w:eastAsia="zh-CN"/>
        </w:rPr>
        <w:t>本单位为2024年新增单位，未开展此项工作。</w:t>
      </w:r>
      <w:r>
        <w:rPr>
          <w:rFonts w:hint="eastAsia" w:ascii="仿宋_GB2312" w:eastAsia="仿宋_GB2312"/>
          <w:color w:val="auto"/>
          <w:sz w:val="32"/>
          <w:szCs w:val="32"/>
          <w:shd w:val="clear" w:color="auto" w:fill="auto"/>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参照如下格式说明（表述应与决算内容保持一致）：我部门（单位）在部门决算中反映</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项目绩效自评表：</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可作为附件附后</w:t>
      </w:r>
      <w:r>
        <w:rPr>
          <w:rFonts w:hint="eastAsia" w:ascii="仿宋_GB2312"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eastAsia="仿宋_GB2312"/>
          <w:color w:val="auto"/>
          <w:sz w:val="32"/>
          <w:szCs w:val="32"/>
          <w:shd w:val="clear" w:color="auto" w:fill="auto"/>
        </w:rPr>
        <w:t>项目绩效自评报告：根据年初设定的绩效目标，项目绩效自评得分</w:t>
      </w:r>
      <w:r>
        <w:rPr>
          <w:rFonts w:hint="eastAsia" w:ascii="仿宋_GB2312" w:eastAsia="仿宋_GB2312"/>
          <w:color w:val="auto"/>
          <w:sz w:val="32"/>
          <w:szCs w:val="32"/>
          <w:shd w:val="clear" w:color="auto" w:fill="auto"/>
          <w:lang w:val="en-US" w:eastAsia="zh-CN"/>
        </w:rPr>
        <w:t>为0</w:t>
      </w:r>
      <w:r>
        <w:rPr>
          <w:rFonts w:hint="eastAsia" w:ascii="仿宋_GB2312" w:eastAsia="仿宋_GB2312"/>
          <w:color w:val="auto"/>
          <w:sz w:val="32"/>
          <w:szCs w:val="32"/>
          <w:shd w:val="clear" w:color="auto" w:fill="auto"/>
        </w:rPr>
        <w:t>分。全年预算数为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万元，执行数为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万元，完成预算的</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%。项目绩效目标完成情况：</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是本单位为2024年新增单位，未开展此项工作</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bidi="ar"/>
        </w:rPr>
      </w:pPr>
      <w:r>
        <w:rPr>
          <w:rFonts w:hint="eastAsia" w:ascii="仿宋_GB2312" w:hAnsi="仿宋_GB2312" w:eastAsia="仿宋_GB2312" w:cs="仿宋_GB2312"/>
          <w:color w:val="auto"/>
          <w:kern w:val="0"/>
          <w:sz w:val="32"/>
          <w:szCs w:val="32"/>
          <w:shd w:val="clear" w:color="auto" w:fill="auto"/>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97" w:name="_Toc15565_WPSOffice_Level2"/>
      <w:bookmarkStart w:id="98" w:name="_Toc32639_WPSOffice_Level2"/>
      <w:bookmarkStart w:id="99" w:name="_Toc23598_WPSOffice_Level2"/>
      <w:bookmarkStart w:id="100" w:name="_Toc5978_WPSOffice_Level2"/>
      <w:bookmarkStart w:id="101" w:name="_Toc15262_WPSOffice_Level2"/>
      <w:bookmarkStart w:id="102" w:name="_Toc18325_WPSOffice_Level2"/>
      <w:r>
        <w:rPr>
          <w:rFonts w:hint="eastAsia" w:ascii="楷体" w:hAnsi="楷体" w:eastAsia="楷体" w:cs="楷体"/>
          <w:bCs/>
          <w:color w:val="auto"/>
          <w:sz w:val="32"/>
          <w:szCs w:val="32"/>
          <w:shd w:val="clear" w:color="auto" w:fill="auto"/>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色尼区罗玛镇幼儿园</w:t>
      </w:r>
      <w:r>
        <w:rPr>
          <w:rFonts w:hint="eastAsia" w:ascii="仿宋_GB2312" w:hAnsi="ˎ̥" w:eastAsia="仿宋_GB2312"/>
          <w:color w:val="auto"/>
          <w:sz w:val="32"/>
          <w:szCs w:val="32"/>
          <w:shd w:val="clear" w:color="auto" w:fill="auto"/>
        </w:rPr>
        <w:t>部门（单位）机关运行经费</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与2023年度相比，机关运行经费</w:t>
      </w:r>
      <w:r>
        <w:rPr>
          <w:rFonts w:hint="eastAsia" w:ascii="仿宋_GB2312" w:hAnsi="ˎ̥" w:eastAsia="仿宋_GB2312"/>
          <w:color w:val="auto"/>
          <w:sz w:val="32"/>
          <w:szCs w:val="32"/>
          <w:shd w:val="clear" w:color="auto" w:fill="auto"/>
        </w:rPr>
        <w:t>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增长0%。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3" w:name="_Toc23966_WPSOffice_Level2"/>
      <w:bookmarkStart w:id="104" w:name="_Toc3131_WPSOffice_Level2"/>
      <w:bookmarkStart w:id="105" w:name="_Toc25333_WPSOffice_Level2"/>
      <w:bookmarkStart w:id="106" w:name="_Toc30383_WPSOffice_Level2"/>
      <w:bookmarkStart w:id="107" w:name="_Toc32689_WPSOffice_Level2"/>
      <w:bookmarkStart w:id="108" w:name="_Toc13084_WPSOffice_Level2"/>
      <w:r>
        <w:rPr>
          <w:rFonts w:hint="eastAsia" w:ascii="楷体" w:hAnsi="楷体" w:eastAsia="楷体" w:cs="楷体"/>
          <w:bCs/>
          <w:color w:val="auto"/>
          <w:sz w:val="32"/>
          <w:szCs w:val="32"/>
          <w:shd w:val="clear" w:color="auto" w:fill="auto"/>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色尼区罗玛镇幼儿园</w:t>
      </w:r>
      <w:r>
        <w:rPr>
          <w:rFonts w:hint="eastAsia" w:ascii="仿宋_GB2312" w:hAnsi="ˎ̥" w:eastAsia="仿宋_GB2312"/>
          <w:color w:val="auto"/>
          <w:sz w:val="32"/>
          <w:szCs w:val="32"/>
          <w:shd w:val="clear" w:color="auto" w:fill="auto"/>
        </w:rPr>
        <w:t>部门（单位）政府采购支出总额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万元，其中：政府采购货物支出</w:t>
      </w:r>
      <w:r>
        <w:rPr>
          <w:rFonts w:hint="eastAsia" w:ascii="仿宋_GB2312" w:hAnsi="ˎ̥" w:eastAsia="仿宋_GB2312"/>
          <w:color w:val="auto"/>
          <w:sz w:val="32"/>
          <w:szCs w:val="32"/>
          <w:shd w:val="clear" w:color="auto" w:fill="auto"/>
          <w:lang w:val="en-US" w:eastAsia="zh-CN"/>
        </w:rPr>
        <w:t>0</w:t>
      </w:r>
      <w:bookmarkStart w:id="121" w:name="_GoBack"/>
      <w:bookmarkEnd w:id="121"/>
      <w:r>
        <w:rPr>
          <w:rFonts w:hint="eastAsia" w:ascii="仿宋_GB2312" w:hAnsi="ˎ̥" w:eastAsia="仿宋_GB2312"/>
          <w:color w:val="auto"/>
          <w:sz w:val="32"/>
          <w:szCs w:val="32"/>
          <w:shd w:val="clear" w:color="auto" w:fill="auto"/>
        </w:rPr>
        <w:t>万元、政府采购工程支出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万元、政府采购服务支出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万元。授予中小企业合同金额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万元，占政府采购支出总额的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%，其中：授予小微企业合同金额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仿宋_GB2312" w:eastAsia="仿宋_GB2312" w:cs="仿宋_GB2312"/>
          <w:color w:val="auto"/>
          <w:kern w:val="0"/>
          <w:sz w:val="32"/>
          <w:szCs w:val="32"/>
          <w:shd w:val="clear" w:color="auto" w:fill="auto"/>
          <w:lang w:bidi="ar"/>
        </w:rPr>
        <w:t>授予中小企业合同金额</w:t>
      </w:r>
      <w:r>
        <w:rPr>
          <w:rFonts w:hint="eastAsia" w:ascii="仿宋_GB2312" w:hAnsi="仿宋_GB2312" w:eastAsia="仿宋_GB2312" w:cs="仿宋_GB2312"/>
          <w:color w:val="auto"/>
          <w:sz w:val="32"/>
          <w:szCs w:val="32"/>
          <w:shd w:val="clear" w:color="auto" w:fill="auto"/>
        </w:rPr>
        <w:t>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上述政府采购支出相关</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9" w:name="_Toc527_WPSOffice_Level2"/>
      <w:bookmarkStart w:id="110" w:name="_Toc10902_WPSOffice_Level2"/>
      <w:bookmarkStart w:id="111" w:name="_Toc6016_WPSOffice_Level2"/>
      <w:bookmarkStart w:id="112" w:name="_Toc29584_WPSOffice_Level2"/>
      <w:bookmarkStart w:id="113" w:name="_Toc19989_WPSOffice_Level2"/>
      <w:bookmarkStart w:id="114" w:name="_Toc15129_WPSOffice_Level2"/>
      <w:r>
        <w:rPr>
          <w:rFonts w:hint="eastAsia" w:ascii="楷体" w:hAnsi="楷体" w:eastAsia="楷体" w:cs="楷体"/>
          <w:bCs/>
          <w:color w:val="auto"/>
          <w:sz w:val="32"/>
          <w:szCs w:val="32"/>
          <w:shd w:val="clear" w:color="auto" w:fill="auto"/>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截至</w:t>
      </w:r>
      <w:r>
        <w:rPr>
          <w:rFonts w:hint="default" w:ascii="仿宋_GB2312" w:hAnsi="ˎ̥" w:eastAsia="仿宋_GB2312"/>
          <w:bCs/>
          <w:color w:val="auto"/>
          <w:sz w:val="32"/>
          <w:szCs w:val="32"/>
          <w:shd w:val="clear" w:color="auto" w:fill="auto"/>
          <w:lang w:val="en-US"/>
        </w:rPr>
        <w:t>2024</w:t>
      </w:r>
      <w:r>
        <w:rPr>
          <w:rFonts w:hint="eastAsia" w:ascii="仿宋_GB2312" w:hAnsi="ˎ̥" w:eastAsia="仿宋_GB2312"/>
          <w:bCs/>
          <w:color w:val="auto"/>
          <w:sz w:val="32"/>
          <w:szCs w:val="32"/>
          <w:shd w:val="clear" w:color="auto" w:fill="auto"/>
        </w:rPr>
        <w:t>年12月31日，本部门拥有</w:t>
      </w:r>
      <w:r>
        <w:rPr>
          <w:rFonts w:hint="eastAsia" w:ascii="仿宋_GB2312" w:hAnsi="ˎ̥" w:eastAsia="仿宋_GB2312"/>
          <w:color w:val="auto"/>
          <w:sz w:val="32"/>
          <w:szCs w:val="32"/>
          <w:shd w:val="clear" w:color="auto" w:fill="auto"/>
        </w:rPr>
        <w:t>房屋面积</w:t>
      </w:r>
      <w:r>
        <w:rPr>
          <w:rFonts w:hint="eastAsia" w:ascii="仿宋_GB2312" w:hAnsi="ˎ̥" w:eastAsia="仿宋_GB2312"/>
          <w:color w:val="auto"/>
          <w:sz w:val="32"/>
          <w:szCs w:val="32"/>
          <w:shd w:val="clear" w:color="auto" w:fill="auto"/>
          <w:lang w:val="en-US" w:eastAsia="zh-CN"/>
        </w:rPr>
        <w:t>2241</w:t>
      </w:r>
      <w:r>
        <w:rPr>
          <w:rFonts w:hint="eastAsia" w:ascii="仿宋_GB2312" w:hAnsi="ˎ̥" w:eastAsia="仿宋_GB2312"/>
          <w:color w:val="auto"/>
          <w:sz w:val="32"/>
          <w:szCs w:val="32"/>
          <w:shd w:val="clear" w:color="auto" w:fill="auto"/>
        </w:rPr>
        <w:t>平方米</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本部门共有车辆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辆，其中，副部（省）级及以上领导用车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辆、主要负责人用车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辆、机要通信用车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辆、应急保障用车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辆、执法执勤用车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辆、特种专业技术用车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辆、离退休干部服务用车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辆、其他用车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单价100万元（含）以上设备（不含车辆）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上述国有资产占用情况相关数</w:t>
      </w:r>
      <w:r>
        <w:rPr>
          <w:rFonts w:hint="eastAsia" w:ascii="仿宋_GB2312" w:hAnsi="ˎ̥" w:eastAsia="仿宋_GB2312"/>
          <w:color w:val="auto"/>
          <w:sz w:val="32"/>
          <w:szCs w:val="32"/>
          <w:shd w:val="clear" w:color="auto" w:fill="auto"/>
          <w:lang w:val="en-US" w:eastAsia="zh-CN"/>
        </w:rPr>
        <w:t>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年度部门决算F0</w:t>
      </w:r>
      <w:r>
        <w:rPr>
          <w:rFonts w:hint="default" w:ascii="仿宋_GB2312" w:hAnsi="ˎ̥" w:eastAsia="仿宋_GB2312"/>
          <w:color w:val="auto"/>
          <w:sz w:val="32"/>
          <w:szCs w:val="32"/>
          <w:shd w:val="clear" w:color="auto" w:fill="auto"/>
          <w:lang w:val="en-US"/>
        </w:rPr>
        <w:t>2</w:t>
      </w:r>
      <w:r>
        <w:rPr>
          <w:rFonts w:hint="eastAsia" w:ascii="仿宋_GB2312" w:hAnsi="ˎ̥" w:eastAsia="仿宋_GB2312"/>
          <w:color w:val="auto"/>
          <w:sz w:val="32"/>
          <w:szCs w:val="32"/>
          <w:shd w:val="clear" w:color="auto" w:fill="auto"/>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bookmarkStart w:id="115" w:name="_Toc8874_WPSOffice_Level1"/>
      <w:bookmarkStart w:id="116" w:name="_Toc4398_WPSOffice_Level1"/>
      <w:bookmarkStart w:id="117" w:name="_Toc17580_WPSOffice_Level1"/>
      <w:bookmarkStart w:id="118" w:name="_Toc15425_WPSOffice_Level1"/>
      <w:bookmarkStart w:id="119" w:name="_Toc11039_WPSOffice_Level1"/>
      <w:bookmarkStart w:id="120"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十六、</w:t>
      </w:r>
      <w:r>
        <w:rPr>
          <w:rFonts w:ascii="仿宋_GB2312" w:hAnsi="ˎ̥" w:eastAsia="仿宋_GB2312"/>
          <w:color w:val="auto"/>
          <w:sz w:val="32"/>
          <w:szCs w:val="32"/>
          <w:shd w:val="clear" w:color="auto" w:fill="auto"/>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支出功能分类的名词解释，各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单位根据实际支出情况填列，可参阅财政部印发的《</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年政府收支分类科目》</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AB78E77"/>
    <w:multiLevelType w:val="singleLevel"/>
    <w:tmpl w:val="0AB78E77"/>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abstractNum w:abstractNumId="3">
    <w:nsid w:val="75A8FCC9"/>
    <w:multiLevelType w:val="singleLevel"/>
    <w:tmpl w:val="75A8FCC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83550D"/>
    <w:rsid w:val="09201287"/>
    <w:rsid w:val="0DE2742F"/>
    <w:rsid w:val="0FC80124"/>
    <w:rsid w:val="136F98C7"/>
    <w:rsid w:val="17427E68"/>
    <w:rsid w:val="1755065F"/>
    <w:rsid w:val="1AFC29C9"/>
    <w:rsid w:val="1CA52F2E"/>
    <w:rsid w:val="1DFE370B"/>
    <w:rsid w:val="1E3630B9"/>
    <w:rsid w:val="1EC470E5"/>
    <w:rsid w:val="267E5495"/>
    <w:rsid w:val="26EEC2B5"/>
    <w:rsid w:val="29472309"/>
    <w:rsid w:val="2B406E77"/>
    <w:rsid w:val="2C2A0C43"/>
    <w:rsid w:val="2D1E73A5"/>
    <w:rsid w:val="32717154"/>
    <w:rsid w:val="34B63260"/>
    <w:rsid w:val="358416AA"/>
    <w:rsid w:val="37FDA7E2"/>
    <w:rsid w:val="3A314D88"/>
    <w:rsid w:val="3A746883"/>
    <w:rsid w:val="3CA15DE9"/>
    <w:rsid w:val="3DF33C93"/>
    <w:rsid w:val="3FE61EE5"/>
    <w:rsid w:val="406508EE"/>
    <w:rsid w:val="408D6263"/>
    <w:rsid w:val="41B40CEE"/>
    <w:rsid w:val="46E2638C"/>
    <w:rsid w:val="48317291"/>
    <w:rsid w:val="485F7024"/>
    <w:rsid w:val="48E70666"/>
    <w:rsid w:val="4C486BB6"/>
    <w:rsid w:val="4C6877E5"/>
    <w:rsid w:val="4D6A468D"/>
    <w:rsid w:val="4EA86137"/>
    <w:rsid w:val="4EFE29BD"/>
    <w:rsid w:val="54AA3DF7"/>
    <w:rsid w:val="56CA7FD0"/>
    <w:rsid w:val="57FA38D1"/>
    <w:rsid w:val="5E4F2286"/>
    <w:rsid w:val="5F7D3333"/>
    <w:rsid w:val="61385890"/>
    <w:rsid w:val="687436E1"/>
    <w:rsid w:val="69C80FBA"/>
    <w:rsid w:val="6AC32E38"/>
    <w:rsid w:val="6C361582"/>
    <w:rsid w:val="6DA45C50"/>
    <w:rsid w:val="6E9A7825"/>
    <w:rsid w:val="6F670F9B"/>
    <w:rsid w:val="73593979"/>
    <w:rsid w:val="737450E0"/>
    <w:rsid w:val="73F141CE"/>
    <w:rsid w:val="74054476"/>
    <w:rsid w:val="742F38C4"/>
    <w:rsid w:val="74AB66DC"/>
    <w:rsid w:val="74C4154C"/>
    <w:rsid w:val="75956FFF"/>
    <w:rsid w:val="76C30EE4"/>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0</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2025-10-13T02:24:02Z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