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西藏那曲市色尼区第二幼儿园2024年度部门决算公开报告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5"/>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32433_WPSOffice_Level1"/>
      <w:bookmarkStart w:id="3" w:name="_Toc10049_WPSOffice_Level1"/>
      <w:bookmarkStart w:id="4" w:name="_Toc23465_WPSOffice_Level1"/>
      <w:bookmarkStart w:id="5" w:name="_Toc10720_WPSOffice_Level1"/>
      <w:bookmarkStart w:id="6" w:name="_Toc1704_WPSOffice_Level1"/>
      <w:bookmarkStart w:id="7" w:name="_Toc22941_WPSOffice_Level1"/>
      <w:bookmarkStart w:id="8" w:name="_Toc24238_WPSOffice_Level2"/>
      <w:bookmarkStart w:id="9" w:name="_Toc20274_WPSOffice_Level2"/>
      <w:bookmarkStart w:id="10" w:name="_Toc32622_WPSOffice_Level2"/>
      <w:bookmarkStart w:id="11" w:name="_Toc14159_WPSOffice_Level2"/>
      <w:bookmarkStart w:id="12" w:name="_Toc26580_WPSOffice_Level2"/>
      <w:bookmarkStart w:id="13" w:name="_Toc20205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numPr>
          <w:ilvl w:val="0"/>
          <w:numId w:val="2"/>
        </w:numPr>
        <w:rPr>
          <w:rFonts w:hint="eastAsia"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pPr>
        <w:numPr>
          <w:numId w:val="0"/>
        </w:numPr>
        <w:ind w:firstLine="320" w:firstLineChars="100"/>
        <w:rPr>
          <w:rFonts w:hint="eastAsia" w:ascii="仿宋" w:hAnsi="仿宋" w:eastAsia="仿宋" w:cs="仿宋"/>
          <w:color w:val="auto"/>
          <w:sz w:val="32"/>
          <w:szCs w:val="32"/>
        </w:rPr>
      </w:pPr>
      <w:r>
        <w:rPr>
          <w:rFonts w:hint="eastAsia" w:ascii="仿宋" w:hAnsi="仿宋" w:eastAsia="仿宋" w:cs="仿宋"/>
          <w:color w:val="auto"/>
          <w:sz w:val="32"/>
          <w:szCs w:val="32"/>
        </w:rPr>
        <w:t>党建办（负责</w:t>
      </w:r>
      <w:r>
        <w:rPr>
          <w:rFonts w:hint="eastAsia" w:ascii="仿宋" w:hAnsi="仿宋" w:eastAsia="仿宋" w:cs="仿宋"/>
          <w:color w:val="auto"/>
          <w:sz w:val="32"/>
          <w:szCs w:val="32"/>
          <w:lang w:val="en-US" w:eastAsia="zh-CN"/>
        </w:rPr>
        <w:t>幼儿园内</w:t>
      </w:r>
      <w:r>
        <w:rPr>
          <w:rFonts w:hint="eastAsia" w:ascii="仿宋" w:hAnsi="仿宋" w:eastAsia="仿宋" w:cs="仿宋"/>
          <w:color w:val="auto"/>
          <w:sz w:val="32"/>
          <w:szCs w:val="32"/>
        </w:rPr>
        <w:t>的各项党建工作引领全局工作推进负责党建的日常工作，组织党建会议，制定和实施党建工作计划，管理党员发展和教育，收缴和管理党费，以及开展理论学习。）、</w:t>
      </w:r>
      <w:r>
        <w:rPr>
          <w:rFonts w:hint="eastAsia" w:ascii="仿宋" w:hAnsi="仿宋" w:eastAsia="仿宋" w:cs="仿宋"/>
          <w:color w:val="auto"/>
          <w:sz w:val="32"/>
          <w:szCs w:val="32"/>
          <w:lang w:val="en-US" w:eastAsia="zh-CN"/>
        </w:rPr>
        <w:t>保教</w:t>
      </w:r>
      <w:r>
        <w:rPr>
          <w:rFonts w:hint="eastAsia" w:ascii="仿宋" w:hAnsi="仿宋" w:eastAsia="仿宋" w:cs="仿宋"/>
          <w:color w:val="auto"/>
          <w:sz w:val="32"/>
          <w:szCs w:val="32"/>
        </w:rPr>
        <w:t>处（教学常规、师资管理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教研工作</w:t>
      </w:r>
      <w:r>
        <w:rPr>
          <w:rFonts w:hint="eastAsia" w:ascii="仿宋" w:hAnsi="仿宋" w:eastAsia="仿宋" w:cs="仿宋"/>
          <w:color w:val="auto"/>
          <w:sz w:val="32"/>
          <w:szCs w:val="32"/>
        </w:rPr>
        <w:t>）、德育办（德育工作、安全工作、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电教负责园</w:t>
      </w:r>
      <w:r>
        <w:rPr>
          <w:rFonts w:hint="eastAsia" w:ascii="仿宋" w:hAnsi="仿宋" w:eastAsia="仿宋" w:cs="仿宋"/>
          <w:color w:val="auto"/>
          <w:sz w:val="32"/>
          <w:szCs w:val="32"/>
          <w:lang w:val="en-US" w:eastAsia="zh-CN"/>
        </w:rPr>
        <w:t>内</w:t>
      </w:r>
      <w:r>
        <w:rPr>
          <w:rFonts w:hint="eastAsia" w:ascii="仿宋" w:hAnsi="仿宋" w:eastAsia="仿宋" w:cs="仿宋"/>
          <w:color w:val="auto"/>
          <w:sz w:val="32"/>
          <w:szCs w:val="32"/>
        </w:rPr>
        <w:t>安全管理工作。后勤办（后勤工作、食堂、财务、公用经费、三包经费）、</w:t>
      </w:r>
      <w:r>
        <w:rPr>
          <w:rFonts w:hint="eastAsia" w:ascii="仿宋" w:hAnsi="仿宋" w:eastAsia="仿宋" w:cs="仿宋"/>
          <w:color w:val="auto"/>
          <w:sz w:val="32"/>
          <w:szCs w:val="32"/>
          <w:lang w:val="en-US" w:eastAsia="zh-CN"/>
        </w:rPr>
        <w:t>园</w:t>
      </w:r>
      <w:r>
        <w:rPr>
          <w:rFonts w:hint="eastAsia" w:ascii="仿宋" w:hAnsi="仿宋" w:eastAsia="仿宋" w:cs="仿宋"/>
          <w:color w:val="auto"/>
          <w:sz w:val="32"/>
          <w:szCs w:val="32"/>
        </w:rPr>
        <w:t>长办（配合党建管理</w:t>
      </w:r>
      <w:r>
        <w:rPr>
          <w:rFonts w:hint="eastAsia" w:ascii="仿宋" w:hAnsi="仿宋" w:eastAsia="仿宋" w:cs="仿宋"/>
          <w:color w:val="auto"/>
          <w:sz w:val="32"/>
          <w:szCs w:val="32"/>
          <w:lang w:val="en-US" w:eastAsia="zh-CN"/>
        </w:rPr>
        <w:t>保教</w:t>
      </w:r>
      <w:r>
        <w:rPr>
          <w:rFonts w:hint="eastAsia" w:ascii="仿宋" w:hAnsi="仿宋" w:eastAsia="仿宋" w:cs="仿宋"/>
          <w:color w:val="auto"/>
          <w:sz w:val="32"/>
          <w:szCs w:val="32"/>
        </w:rPr>
        <w:t>、后勤、德育</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电教 园内各科室</w:t>
      </w:r>
      <w:r>
        <w:rPr>
          <w:rFonts w:hint="eastAsia" w:ascii="仿宋" w:hAnsi="仿宋" w:eastAsia="仿宋" w:cs="仿宋"/>
          <w:color w:val="auto"/>
          <w:sz w:val="32"/>
          <w:szCs w:val="32"/>
        </w:rPr>
        <w:t>）</w:t>
      </w:r>
    </w:p>
    <w:p>
      <w:pPr>
        <w:spacing w:line="578" w:lineRule="exact"/>
        <w:ind w:firstLine="640" w:firstLineChars="200"/>
        <w:rPr>
          <w:rFonts w:hint="eastAsia" w:ascii="黑体" w:hAnsi="黑体" w:eastAsia="黑体" w:cs="黑体"/>
          <w:color w:val="auto"/>
          <w:sz w:val="32"/>
          <w:szCs w:val="32"/>
        </w:rPr>
      </w:pPr>
    </w:p>
    <w:p>
      <w:pPr>
        <w:spacing w:line="578" w:lineRule="exact"/>
        <w:ind w:firstLine="640" w:firstLineChars="200"/>
        <w:rPr>
          <w:rFonts w:hint="eastAsia" w:ascii="黑体" w:hAnsi="黑体" w:eastAsia="黑体" w:cs="黑体"/>
          <w:color w:val="auto"/>
          <w:sz w:val="32"/>
          <w:szCs w:val="32"/>
        </w:rPr>
      </w:pPr>
      <w:bookmarkStart w:id="14" w:name="_Toc6572_WPSOffice_Level2"/>
      <w:bookmarkStart w:id="15" w:name="_Toc17796_WPSOffice_Level2"/>
      <w:bookmarkStart w:id="16" w:name="_Toc24474_WPSOffice_Level2"/>
      <w:bookmarkStart w:id="17" w:name="_Toc24059_WPSOffice_Level2"/>
      <w:bookmarkStart w:id="18" w:name="_Toc4833_WPSOffice_Level2"/>
      <w:r>
        <w:rPr>
          <w:rFonts w:hint="eastAsia" w:ascii="黑体" w:hAnsi="黑体" w:eastAsia="黑体" w:cs="黑体"/>
          <w:color w:val="auto"/>
          <w:sz w:val="32"/>
          <w:szCs w:val="32"/>
        </w:rPr>
        <w:t>二、机构设置</w:t>
      </w:r>
      <w:bookmarkEnd w:id="14"/>
      <w:bookmarkEnd w:id="15"/>
      <w:bookmarkEnd w:id="16"/>
      <w:bookmarkEnd w:id="17"/>
      <w:bookmarkEnd w:id="18"/>
    </w:p>
    <w:p>
      <w:pPr>
        <w:tabs>
          <w:tab w:val="left" w:pos="1013"/>
        </w:tabs>
        <w:ind w:firstLine="640" w:firstLineChars="200"/>
        <w:jc w:val="left"/>
        <w:rPr>
          <w:rFonts w:hint="eastAsia" w:ascii="仿宋" w:hAnsi="仿宋" w:eastAsia="仿宋" w:cs="仿宋"/>
          <w:color w:val="auto"/>
          <w:sz w:val="32"/>
          <w:szCs w:val="32"/>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val="en-US" w:eastAsia="zh-CN"/>
        </w:rPr>
        <w:t>色尼区第二幼儿园</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w:t>
      </w:r>
      <w:bookmarkStart w:id="19" w:name="_Toc25738_WPSOffice_Level2"/>
      <w:bookmarkStart w:id="20" w:name="_Toc24421_WPSOffice_Level2"/>
      <w:r>
        <w:rPr>
          <w:rFonts w:hint="eastAsia" w:ascii="仿宋" w:hAnsi="仿宋" w:eastAsia="仿宋" w:cs="仿宋"/>
          <w:color w:val="auto"/>
          <w:sz w:val="32"/>
          <w:szCs w:val="32"/>
          <w:highlight w:val="none"/>
        </w:rPr>
        <w:t>统一社会信用代码：</w:t>
      </w:r>
      <w:r>
        <w:rPr>
          <w:rFonts w:hint="default" w:ascii="Times New Roman" w:hAnsi="Times New Roman" w:eastAsia="方正仿宋简体" w:cs="Times New Roman"/>
          <w:color w:val="auto"/>
          <w:sz w:val="32"/>
          <w:szCs w:val="32"/>
          <w:lang w:val="en-US" w:eastAsia="zh-CN"/>
        </w:rPr>
        <w:t>12542421MB0763438K</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单位代码：0</w:t>
      </w:r>
      <w:r>
        <w:rPr>
          <w:rFonts w:hint="eastAsia" w:ascii="仿宋" w:hAnsi="仿宋" w:eastAsia="仿宋" w:cs="仿宋"/>
          <w:color w:val="auto"/>
          <w:sz w:val="32"/>
          <w:szCs w:val="32"/>
          <w:highlight w:val="none"/>
          <w:lang w:val="en-US" w:eastAsia="zh-CN"/>
        </w:rPr>
        <w:t>14</w:t>
      </w:r>
      <w:r>
        <w:rPr>
          <w:rFonts w:hint="eastAsia" w:ascii="仿宋" w:hAnsi="仿宋" w:eastAsia="仿宋" w:cs="仿宋"/>
          <w:color w:val="auto"/>
          <w:sz w:val="32"/>
          <w:szCs w:val="32"/>
          <w:highlight w:val="none"/>
        </w:rPr>
        <w:t>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单位预算级次：</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单位类型</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事业单位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 预算级次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县区级</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eastAsia="zh-CN"/>
        </w:rPr>
        <w:t>。</w:t>
      </w:r>
    </w:p>
    <w:p>
      <w:pPr>
        <w:tabs>
          <w:tab w:val="left" w:pos="1013"/>
        </w:tabs>
        <w:ind w:firstLine="640" w:firstLineChars="200"/>
        <w:jc w:val="left"/>
        <w:rPr>
          <w:rFonts w:hint="eastAsia" w:ascii="Times New Roman" w:hAnsi="Times New Roman" w:eastAsia="方正仿宋简体"/>
          <w:color w:val="auto"/>
          <w:sz w:val="32"/>
          <w:szCs w:val="32"/>
        </w:rPr>
      </w:pPr>
    </w:p>
    <w:bookmarkEnd w:id="19"/>
    <w:bookmarkEnd w:id="20"/>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（注：如果是基层预算单位，没有下属单位的，可只说明单位内设机构即可。）</w:t>
      </w:r>
    </w:p>
    <w:p>
      <w:pPr>
        <w:spacing w:line="578" w:lineRule="exact"/>
        <w:jc w:val="center"/>
        <w:rPr>
          <w:rFonts w:hint="eastAsia" w:ascii="黑体" w:hAnsi="ˎ̥" w:eastAsia="黑体"/>
          <w:color w:val="auto"/>
          <w:sz w:val="32"/>
          <w:szCs w:val="32"/>
        </w:rPr>
      </w:pPr>
      <w:bookmarkStart w:id="21" w:name="_Toc30451_WPSOffice_Level1"/>
      <w:bookmarkStart w:id="22" w:name="_Toc8164_WPSOffice_Level1"/>
      <w:bookmarkStart w:id="23" w:name="_Toc15521_WPSOffice_Level1"/>
      <w:bookmarkStart w:id="24" w:name="_Toc30690_WPSOffice_Level1"/>
      <w:bookmarkStart w:id="25" w:name="_Toc6234_WPSOffice_Level1"/>
      <w:bookmarkStart w:id="26" w:name="_Toc28253_WPSOffice_Level1"/>
      <w:bookmarkStart w:id="27" w:name="_Toc6211_WPSOffice_Level2"/>
      <w:bookmarkStart w:id="28" w:name="_Toc32472_WPSOffice_Level2"/>
      <w:bookmarkStart w:id="29" w:name="_Toc4029_WPSOffice_Level2"/>
      <w:bookmarkStart w:id="30" w:name="_Toc11518_WPSOffice_Level2"/>
      <w:bookmarkStart w:id="31" w:name="_Toc8867_WPSOffice_Level2"/>
      <w:bookmarkStart w:id="32" w:name="_Toc32695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21"/>
      <w:bookmarkEnd w:id="22"/>
      <w:bookmarkEnd w:id="23"/>
      <w:bookmarkEnd w:id="24"/>
      <w:bookmarkEnd w:id="25"/>
      <w:bookmarkEnd w:id="26"/>
    </w:p>
    <w:p>
      <w:pPr>
        <w:spacing w:line="578" w:lineRule="exact"/>
        <w:ind w:firstLine="645"/>
        <w:rPr>
          <w:rFonts w:hint="eastAsia" w:ascii="黑体" w:hAnsi="黑体" w:eastAsia="黑体" w:cs="黑体"/>
          <w:color w:val="auto"/>
          <w:sz w:val="32"/>
          <w:szCs w:val="32"/>
        </w:rPr>
      </w:pPr>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7"/>
      <w:bookmarkEnd w:id="28"/>
      <w:bookmarkEnd w:id="29"/>
      <w:bookmarkEnd w:id="30"/>
      <w:bookmarkEnd w:id="31"/>
      <w:bookmarkEnd w:id="32"/>
    </w:p>
    <w:p>
      <w:pPr>
        <w:spacing w:line="578" w:lineRule="exact"/>
        <w:ind w:firstLine="645"/>
        <w:rPr>
          <w:rFonts w:hint="eastAsia" w:ascii="黑体" w:hAnsi="黑体" w:eastAsia="黑体" w:cs="黑体"/>
          <w:color w:val="auto"/>
          <w:sz w:val="32"/>
          <w:szCs w:val="32"/>
        </w:rPr>
      </w:pPr>
      <w:bookmarkStart w:id="33" w:name="_Toc23139_WPSOffice_Level2"/>
      <w:bookmarkStart w:id="34" w:name="_Toc25608_WPSOffice_Level2"/>
      <w:bookmarkStart w:id="35" w:name="_Toc28622_WPSOffice_Level2"/>
      <w:bookmarkStart w:id="36" w:name="_Toc26621_WPSOffice_Level2"/>
      <w:bookmarkStart w:id="37" w:name="_Toc30334_WPSOffice_Level2"/>
      <w:bookmarkStart w:id="38" w:name="_Toc14349_WPSOffice_Level2"/>
      <w:r>
        <w:rPr>
          <w:rFonts w:hint="eastAsia" w:ascii="黑体" w:hAnsi="黑体" w:eastAsia="黑体" w:cs="黑体"/>
          <w:color w:val="auto"/>
          <w:sz w:val="32"/>
          <w:szCs w:val="32"/>
        </w:rPr>
        <w:t>二、收入决算公开表</w:t>
      </w:r>
      <w:bookmarkEnd w:id="33"/>
      <w:bookmarkEnd w:id="34"/>
      <w:bookmarkEnd w:id="35"/>
      <w:bookmarkEnd w:id="36"/>
      <w:bookmarkEnd w:id="37"/>
      <w:bookmarkEnd w:id="38"/>
      <w:bookmarkStart w:id="39" w:name="_Toc5489_WPSOffice_Level2"/>
      <w:bookmarkStart w:id="40" w:name="_Toc17858_WPSOffice_Level2"/>
      <w:bookmarkStart w:id="41" w:name="_Toc13854_WPSOffice_Level2"/>
      <w:bookmarkStart w:id="42" w:name="_Toc14658_WPSOffice_Level2"/>
      <w:bookmarkStart w:id="43" w:name="_Toc17626_WPSOffice_Level2"/>
      <w:bookmarkStart w:id="44" w:name="_Toc3262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9"/>
      <w:bookmarkEnd w:id="40"/>
      <w:bookmarkEnd w:id="41"/>
      <w:bookmarkEnd w:id="42"/>
      <w:bookmarkEnd w:id="43"/>
      <w:bookmarkEnd w:id="44"/>
      <w:bookmarkStart w:id="45" w:name="_Toc23493_WPSOffice_Level2"/>
      <w:bookmarkStart w:id="46" w:name="_Toc21415_WPSOffice_Level2"/>
      <w:bookmarkStart w:id="47" w:name="_Toc23591_WPSOffice_Level2"/>
      <w:bookmarkStart w:id="48" w:name="_Toc13701_WPSOffice_Level2"/>
      <w:bookmarkStart w:id="49" w:name="_Toc7988_WPSOffice_Level2"/>
      <w:bookmarkStart w:id="50" w:name="_Toc4265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5"/>
      <w:bookmarkEnd w:id="46"/>
      <w:bookmarkEnd w:id="47"/>
      <w:bookmarkEnd w:id="48"/>
      <w:bookmarkEnd w:id="49"/>
      <w:bookmarkEnd w:id="50"/>
    </w:p>
    <w:p>
      <w:pPr>
        <w:spacing w:line="578" w:lineRule="exact"/>
        <w:ind w:firstLine="645"/>
        <w:rPr>
          <w:rFonts w:hint="eastAsia" w:ascii="黑体" w:hAnsi="黑体" w:eastAsia="黑体" w:cs="黑体"/>
          <w:color w:val="auto"/>
          <w:sz w:val="32"/>
          <w:szCs w:val="32"/>
        </w:rPr>
      </w:pPr>
      <w:bookmarkStart w:id="51" w:name="_Toc22783_WPSOffice_Level2"/>
      <w:bookmarkStart w:id="52" w:name="_Toc23829_WPSOffice_Level2"/>
      <w:bookmarkStart w:id="53" w:name="_Toc25166_WPSOffice_Level2"/>
      <w:bookmarkStart w:id="54" w:name="_Toc7879_WPSOffice_Level2"/>
      <w:bookmarkStart w:id="55" w:name="_Toc2158_WPSOffice_Level2"/>
      <w:bookmarkStart w:id="56" w:name="_Toc13516_WPSOffice_Level2"/>
      <w:r>
        <w:rPr>
          <w:rFonts w:hint="eastAsia" w:ascii="黑体" w:hAnsi="黑体" w:eastAsia="黑体" w:cs="黑体"/>
          <w:color w:val="auto"/>
          <w:sz w:val="32"/>
          <w:szCs w:val="32"/>
        </w:rPr>
        <w:t>五、一般公共预算财政拨款收入支出决算</w:t>
      </w:r>
      <w:bookmarkEnd w:id="51"/>
      <w:bookmarkEnd w:id="52"/>
      <w:bookmarkEnd w:id="53"/>
      <w:bookmarkEnd w:id="54"/>
      <w:r>
        <w:rPr>
          <w:rFonts w:hint="eastAsia" w:ascii="黑体" w:hAnsi="黑体" w:eastAsia="黑体" w:cs="黑体"/>
          <w:color w:val="auto"/>
          <w:sz w:val="32"/>
          <w:szCs w:val="32"/>
        </w:rPr>
        <w:t>公开表</w:t>
      </w:r>
      <w:bookmarkEnd w:id="55"/>
      <w:bookmarkEnd w:id="56"/>
      <w:bookmarkStart w:id="57" w:name="_Toc8373_WPSOffice_Level2"/>
      <w:bookmarkStart w:id="58" w:name="_Toc5343_WPSOffice_Level2"/>
      <w:bookmarkStart w:id="59" w:name="_Toc25362_WPSOffice_Level2"/>
      <w:bookmarkStart w:id="60" w:name="_Toc17283_WPSOffice_Level2"/>
      <w:bookmarkStart w:id="61" w:name="_Toc2632_WPSOffice_Level2"/>
      <w:bookmarkStart w:id="62" w:name="_Toc17833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7"/>
      <w:bookmarkEnd w:id="58"/>
      <w:bookmarkEnd w:id="59"/>
      <w:bookmarkEnd w:id="60"/>
      <w:bookmarkEnd w:id="61"/>
      <w:bookmarkEnd w:id="62"/>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3" w:name="_Toc13345_WPSOffice_Level2"/>
      <w:bookmarkStart w:id="64" w:name="_Toc6020_WPSOffice_Level2"/>
      <w:bookmarkStart w:id="65" w:name="_Toc21310_WPSOffice_Level2"/>
      <w:bookmarkStart w:id="66" w:name="_Toc1533_WPSOffice_Level2"/>
      <w:bookmarkStart w:id="67" w:name="_Toc5594_WPSOffice_Level2"/>
      <w:bookmarkStart w:id="68" w:name="_Toc11799_WPSOffice_Level2"/>
      <w:r>
        <w:rPr>
          <w:rFonts w:hint="eastAsia" w:ascii="黑体" w:hAnsi="黑体" w:eastAsia="黑体" w:cs="黑体"/>
          <w:color w:val="auto"/>
          <w:sz w:val="32"/>
          <w:szCs w:val="32"/>
        </w:rPr>
        <w:t>七、政府性基金预算财政拨款收入支出决算</w:t>
      </w:r>
      <w:bookmarkEnd w:id="63"/>
      <w:bookmarkEnd w:id="64"/>
      <w:bookmarkEnd w:id="65"/>
      <w:bookmarkEnd w:id="66"/>
      <w:bookmarkEnd w:id="67"/>
      <w:bookmarkEnd w:id="68"/>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69" w:name="_Toc29886_WPSOffice_Level2"/>
      <w:bookmarkStart w:id="70" w:name="_Toc19961_WPSOffice_Level2"/>
      <w:bookmarkStart w:id="71" w:name="_Toc1820_WPSOffice_Level2"/>
      <w:bookmarkStart w:id="72" w:name="_Toc9377_WPSOffice_Level2"/>
      <w:r>
        <w:rPr>
          <w:rFonts w:hint="eastAsia" w:ascii="黑体" w:hAnsi="黑体" w:eastAsia="黑体" w:cs="黑体"/>
          <w:color w:val="auto"/>
          <w:sz w:val="32"/>
          <w:szCs w:val="32"/>
        </w:rPr>
        <w:t>九、财政拨款“三公”经费支出决算</w:t>
      </w:r>
      <w:bookmarkEnd w:id="69"/>
      <w:bookmarkEnd w:id="70"/>
      <w:bookmarkEnd w:id="71"/>
      <w:bookmarkEnd w:id="72"/>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73" w:name="_Toc4402_WPSOffice_Level1"/>
      <w:bookmarkStart w:id="74" w:name="_Toc28629_WPSOffice_Level1"/>
      <w:bookmarkStart w:id="75" w:name="_Toc16686_WPSOffice_Level1"/>
      <w:bookmarkStart w:id="76" w:name="_Toc31264_WPSOffice_Level1"/>
      <w:bookmarkStart w:id="77" w:name="_Toc29683_WPSOffice_Level1"/>
      <w:bookmarkStart w:id="78" w:name="_Toc27590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3"/>
      <w:bookmarkEnd w:id="74"/>
      <w:bookmarkEnd w:id="75"/>
      <w:bookmarkEnd w:id="76"/>
      <w:bookmarkEnd w:id="77"/>
      <w:bookmarkEnd w:id="78"/>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eastAsia" w:ascii="仿宋_GB2312" w:hAnsi="ˎ̥" w:eastAsia="仿宋_GB2312"/>
          <w:color w:val="auto"/>
          <w:sz w:val="32"/>
          <w:szCs w:val="32"/>
          <w:lang w:val="en-US" w:eastAsia="zh-CN"/>
        </w:rPr>
        <w:t>1129.42</w:t>
      </w:r>
      <w:r>
        <w:rPr>
          <w:rFonts w:hint="eastAsia" w:ascii="仿宋_GB2312" w:hAnsi="ˎ̥" w:eastAsia="仿宋_GB2312"/>
          <w:color w:val="auto"/>
          <w:sz w:val="32"/>
          <w:szCs w:val="32"/>
        </w:rPr>
        <w:t>万元，支出总计</w:t>
      </w:r>
      <w:r>
        <w:rPr>
          <w:rFonts w:hint="eastAsia" w:ascii="仿宋_GB2312" w:hAnsi="ˎ̥" w:eastAsia="仿宋_GB2312"/>
          <w:color w:val="auto"/>
          <w:sz w:val="32"/>
          <w:szCs w:val="32"/>
          <w:lang w:val="en-US" w:eastAsia="zh-CN"/>
        </w:rPr>
        <w:t>1129.42</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eastAsia" w:ascii="仿宋_GB2312" w:hAnsi="ˎ̥" w:eastAsia="仿宋_GB2312"/>
          <w:color w:val="auto"/>
          <w:sz w:val="32"/>
          <w:szCs w:val="32"/>
          <w:lang w:val="en-US" w:eastAsia="zh-CN"/>
        </w:rPr>
        <w:t>1129.42</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万元，主要原因是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（简要说明结转结余形成或来源），较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1129.42</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万元，主要是（资金分配去向），较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万元，主要是（简要说明结转结余的构成），较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年度相关决算数据可取自附件财决公开01、02</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03</w:t>
      </w:r>
      <w:r>
        <w:rPr>
          <w:rFonts w:hint="eastAsia" w:ascii="仿宋_GB2312" w:hAnsi="ˎ̥" w:eastAsia="仿宋_GB2312"/>
          <w:color w:val="auto"/>
          <w:sz w:val="32"/>
          <w:szCs w:val="32"/>
        </w:rPr>
        <w:t>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年度相关决算数据可取自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年度部门决算报表财决01表《收入支出决算总表》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eastAsia" w:ascii="仿宋_GB2312" w:hAnsi="ˎ̥" w:eastAsia="仿宋_GB2312"/>
          <w:color w:val="auto"/>
          <w:sz w:val="32"/>
          <w:szCs w:val="32"/>
          <w:lang w:val="en-US" w:eastAsia="zh-CN"/>
        </w:rPr>
        <w:t>1129.42</w:t>
      </w:r>
      <w:r>
        <w:rPr>
          <w:rFonts w:hint="eastAsia" w:ascii="仿宋_GB2312" w:hAnsi="ˎ̥" w:eastAsia="仿宋_GB2312"/>
          <w:color w:val="auto"/>
          <w:sz w:val="32"/>
          <w:szCs w:val="32"/>
        </w:rPr>
        <w:t>万元，其中：财政拨款收入</w:t>
      </w:r>
      <w:r>
        <w:rPr>
          <w:rFonts w:hint="eastAsia" w:ascii="仿宋_GB2312" w:hAnsi="ˎ̥" w:eastAsia="仿宋_GB2312"/>
          <w:color w:val="auto"/>
          <w:sz w:val="32"/>
          <w:szCs w:val="32"/>
          <w:lang w:val="en-US" w:eastAsia="zh-CN"/>
        </w:rPr>
        <w:t>1129.42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eastAsia" w:ascii="仿宋_GB2312" w:hAnsi="ˎ̥" w:eastAsia="仿宋_GB2312"/>
          <w:color w:val="auto"/>
          <w:sz w:val="32"/>
          <w:szCs w:val="32"/>
        </w:rPr>
        <w:t>上述各项收入数可取自财决公开02表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1129.42</w:t>
      </w:r>
      <w:r>
        <w:rPr>
          <w:rFonts w:hint="eastAsia" w:ascii="仿宋_GB2312" w:hAnsi="ˎ̥" w:eastAsia="仿宋_GB2312"/>
          <w:color w:val="auto"/>
          <w:sz w:val="32"/>
          <w:szCs w:val="32"/>
        </w:rPr>
        <w:t>万元，其中：基本支出</w:t>
      </w:r>
      <w:r>
        <w:rPr>
          <w:rFonts w:hint="eastAsia" w:ascii="仿宋_GB2312" w:hAnsi="ˎ̥" w:eastAsia="仿宋_GB2312"/>
          <w:color w:val="auto"/>
          <w:sz w:val="32"/>
          <w:szCs w:val="32"/>
          <w:lang w:val="en-US" w:eastAsia="zh-CN"/>
        </w:rPr>
        <w:t>1129.42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上述各项支出数可取自财决公开03表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eastAsia" w:ascii="仿宋_GB2312" w:hAnsi="ˎ̥" w:eastAsia="仿宋_GB2312"/>
          <w:color w:val="auto"/>
          <w:sz w:val="32"/>
          <w:szCs w:val="32"/>
          <w:lang w:val="en-US" w:eastAsia="zh-CN"/>
        </w:rPr>
        <w:t>1129.42</w:t>
      </w:r>
      <w:r>
        <w:rPr>
          <w:rFonts w:hint="eastAsia" w:ascii="仿宋_GB2312" w:hAnsi="ˎ̥" w:eastAsia="仿宋_GB2312"/>
          <w:color w:val="auto"/>
          <w:sz w:val="32"/>
          <w:szCs w:val="32"/>
        </w:rPr>
        <w:t>万元，支出</w:t>
      </w:r>
      <w:r>
        <w:rPr>
          <w:rFonts w:hint="eastAsia" w:ascii="仿宋_GB2312" w:hAnsi="ˎ̥" w:eastAsia="仿宋_GB2312"/>
          <w:color w:val="auto"/>
          <w:sz w:val="32"/>
          <w:szCs w:val="32"/>
          <w:lang w:val="en-US" w:eastAsia="zh-CN"/>
        </w:rPr>
        <w:t>1129.42</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万元，主要是（简要说明结转结余形成或来源），较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万元，主要是（简要说明结转结余的</w:t>
      </w:r>
      <w:r>
        <w:rPr>
          <w:rFonts w:ascii="仿宋_GB2312" w:hAnsi="ˎ̥" w:eastAsia="仿宋_GB2312"/>
          <w:color w:val="auto"/>
          <w:sz w:val="32"/>
          <w:szCs w:val="32"/>
        </w:rPr>
        <w:t>构成</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年度决算相关数据可取自财决公开04表。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年度决算相关数据可取自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年度部门决算报表财决01-1表《财政拨款收入支出决算总表》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9" w:name="_Toc13694_WPSOffice_Level2"/>
      <w:bookmarkStart w:id="80" w:name="_Toc19665_WPSOffice_Level2"/>
      <w:bookmarkStart w:id="81" w:name="_Toc23005_WPSOffice_Level2"/>
      <w:bookmarkStart w:id="82" w:name="_Toc21737_WPSOffice_Level2"/>
      <w:bookmarkStart w:id="83" w:name="_Toc9989_WPSOffice_Level2"/>
      <w:bookmarkStart w:id="84" w:name="_Toc17398_WPSOffice_Level2"/>
      <w:r>
        <w:rPr>
          <w:rFonts w:hint="eastAsia" w:ascii="楷体" w:hAnsi="楷体" w:eastAsia="楷体" w:cs="楷体"/>
          <w:color w:val="auto"/>
          <w:sz w:val="32"/>
          <w:szCs w:val="32"/>
        </w:rPr>
        <w:t>（一）一般公共预算财政拨款支出决算总体情况</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1129.42</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bookmarkStart w:id="85" w:name="_Toc2711_WPSOffice_Level2"/>
      <w:bookmarkStart w:id="86" w:name="_Toc23864_WPSOffice_Level2"/>
      <w:bookmarkStart w:id="87" w:name="_Toc19535_WPSOffice_Level2"/>
      <w:bookmarkStart w:id="88" w:name="_Toc18793_WPSOffice_Level2"/>
      <w:bookmarkStart w:id="89" w:name="_Toc19075_WPSOffice_Level2"/>
      <w:bookmarkStart w:id="90" w:name="_Toc27767_WPSOffice_Level2"/>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（二）一般公共预算财政拨款支出决算结构情况</w:t>
      </w:r>
      <w:bookmarkEnd w:id="85"/>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1129.42</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938.31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83</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111.86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9.9</w:t>
      </w:r>
      <w:r>
        <w:rPr>
          <w:rFonts w:hint="eastAsia" w:ascii="仿宋_GB2312" w:hAnsi="ˎ̥" w:eastAsia="仿宋_GB2312"/>
          <w:color w:val="auto"/>
          <w:sz w:val="32"/>
          <w:szCs w:val="32"/>
        </w:rPr>
        <w:t>%；</w:t>
      </w:r>
      <w:r>
        <w:rPr>
          <w:rFonts w:hint="eastAsia" w:ascii="仿宋_GB2312" w:hAnsi="ˎ̥" w:eastAsia="仿宋_GB2312"/>
          <w:b/>
          <w:bCs/>
          <w:color w:val="auto"/>
          <w:sz w:val="32"/>
          <w:szCs w:val="32"/>
          <w:lang w:val="en-US" w:eastAsia="zh-CN"/>
        </w:rPr>
        <w:t>卫生健康（类）</w:t>
      </w:r>
      <w:r>
        <w:rPr>
          <w:rFonts w:hint="eastAsia" w:ascii="仿宋_GB2312" w:hAnsi="ˎ̥" w:eastAsia="仿宋_GB2312"/>
          <w:color w:val="auto"/>
          <w:sz w:val="32"/>
          <w:szCs w:val="32"/>
          <w:lang w:val="en-US" w:eastAsia="zh-CN"/>
        </w:rPr>
        <w:t>支出51.89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4.6</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27.36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2.5</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91" w:name="_Toc29364_WPSOffice_Level2"/>
      <w:bookmarkStart w:id="92" w:name="_Toc21701_WPSOffice_Level2"/>
      <w:bookmarkStart w:id="93" w:name="_Toc15415_WPSOffice_Level2"/>
      <w:bookmarkStart w:id="94" w:name="_Toc22318_WPSOffice_Level2"/>
      <w:bookmarkStart w:id="95" w:name="_Toc9502_WPSOffice_Level2"/>
      <w:bookmarkStart w:id="96" w:name="_Toc25136_WPSOffice_Level2"/>
      <w:r>
        <w:rPr>
          <w:rFonts w:hint="eastAsia" w:ascii="楷体" w:hAnsi="楷体" w:eastAsia="楷体" w:cs="楷体"/>
          <w:color w:val="auto"/>
          <w:sz w:val="32"/>
          <w:szCs w:val="32"/>
        </w:rPr>
        <w:t>（三）一般公共预算财政拨款支出决算具体情况</w:t>
      </w:r>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1129.42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1129.42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b/>
          <w:color w:val="auto"/>
          <w:sz w:val="32"/>
          <w:szCs w:val="32"/>
        </w:rPr>
        <w:t>一般公共服务（类）人大事务（款）行政运行（项）。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938.31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938.31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社会保障和就业（类）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111.86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111.86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lang w:val="en-US" w:eastAsia="zh-CN"/>
        </w:rPr>
        <w:t>卫生健康（类）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51.89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51.89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left="0" w:leftChars="0"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住房保障（类）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27.36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27.36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本部分支出决算数可取自财决公开05表，年初预算数可取自各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单位年初预算大本，根据实际支出涉及的支出功能分类项级科目填列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0.00</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1091.64</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37.78</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可取自财决公开06表，各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无此相关资金。</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决算相关数据取自财决公开07表；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eastAsia="zh-CN"/>
        </w:rPr>
        <w:t>年度部门决算报表</w:t>
      </w:r>
      <w:r>
        <w:rPr>
          <w:rFonts w:hint="eastAsia" w:ascii="仿宋_GB2312" w:hAnsi="ˎ̥" w:eastAsia="仿宋_GB2312"/>
          <w:color w:val="auto"/>
          <w:sz w:val="32"/>
          <w:szCs w:val="32"/>
        </w:rPr>
        <w:t>财决09表《政府性基金预算财政拨款收入支出决算表》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；二是</w:t>
      </w:r>
      <w:r>
        <w:rPr>
          <w:rFonts w:hint="eastAsia" w:ascii="仿宋_GB2312" w:hAnsi="ˎ̥" w:eastAsia="仿宋_GB2312"/>
          <w:color w:val="auto"/>
          <w:sz w:val="32"/>
          <w:szCs w:val="32"/>
          <w:lang w:val="en-US" w:eastAsia="zh-CN"/>
        </w:rPr>
        <w:t>无此相关资金。</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决算相关数据取自财决公开08表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辆，主要用于，年末公务用车保有量</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公务接待费支出决算数比预算数增加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本部门属于新增单位，无此相关资金。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w:t>
      </w:r>
      <w:r>
        <w:rPr>
          <w:rFonts w:ascii="仿宋_GB2312" w:hAnsi="ˎ̥" w:eastAsia="仿宋_GB2312"/>
          <w:color w:val="auto"/>
          <w:sz w:val="32"/>
          <w:szCs w:val="32"/>
        </w:rPr>
        <w:t>数据</w:t>
      </w:r>
      <w:r>
        <w:rPr>
          <w:rFonts w:hint="eastAsia" w:ascii="仿宋_GB2312" w:hAnsi="ˎ̥" w:eastAsia="仿宋_GB2312"/>
          <w:color w:val="auto"/>
          <w:sz w:val="32"/>
          <w:szCs w:val="32"/>
        </w:rPr>
        <w:t>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部门决算报表</w:t>
      </w:r>
      <w:r>
        <w:rPr>
          <w:rFonts w:hint="eastAsia" w:ascii="仿宋_GB2312" w:hAnsi="ˎ̥" w:eastAsia="仿宋_GB2312"/>
          <w:color w:val="auto"/>
          <w:sz w:val="32"/>
          <w:szCs w:val="32"/>
        </w:rPr>
        <w:t>F03表《机构</w:t>
      </w:r>
      <w:r>
        <w:rPr>
          <w:rFonts w:ascii="仿宋_GB2312" w:hAnsi="ˎ̥" w:eastAsia="仿宋_GB2312"/>
          <w:color w:val="auto"/>
          <w:sz w:val="32"/>
          <w:szCs w:val="32"/>
        </w:rPr>
        <w:t>运行信息表》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根据财政预算绩效管理要求，可按照如下格式说明：根据预算管理要求，我部门（单位）组织</w:t>
      </w:r>
      <w:r>
        <w:rPr>
          <w:rFonts w:hint="eastAsia" w:ascii="仿宋_GB2312" w:eastAsia="仿宋_GB2312"/>
          <w:color w:val="auto"/>
          <w:sz w:val="32"/>
          <w:szCs w:val="32"/>
          <w:lang w:val="en-US" w:eastAsia="zh-CN"/>
        </w:rPr>
        <w:t>未</w:t>
      </w:r>
      <w:r>
        <w:rPr>
          <w:rFonts w:hint="eastAsia" w:ascii="仿宋_GB2312" w:eastAsia="仿宋_GB2312"/>
          <w:color w:val="auto"/>
          <w:sz w:val="32"/>
          <w:szCs w:val="32"/>
        </w:rPr>
        <w:t>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共涉及资金0万元，占一般公共预算项目支出总额的0%</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个政府性基金预算项目开展绩效自评，共涉及资金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个国有资本经营预算项目开展绩效自评，共涉及资金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万元，占国有资本经营预算项目支出总额的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val="en-US" w:eastAsia="zh-CN"/>
        </w:rPr>
        <w:t>未开展此项工作，具体原因：一是</w:t>
      </w:r>
      <w:r>
        <w:rPr>
          <w:rFonts w:hint="eastAsia" w:ascii="仿宋_GB2312" w:hAnsi="ˎ̥" w:eastAsia="仿宋_GB2312"/>
          <w:color w:val="auto"/>
          <w:sz w:val="32"/>
          <w:szCs w:val="32"/>
          <w:lang w:val="en-US" w:eastAsia="zh-CN"/>
        </w:rPr>
        <w:t xml:space="preserve">本部门属于新增单位,未开展此项工作。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参照如下格式说明（表述应与决算内容保持一致）：我部门（单位）在部门决算中反映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项目绩效自评表：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可作为附件附后</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val="en-US" w:eastAsia="zh-CN"/>
        </w:rPr>
        <w:t>未开展此项工作，具体原因：一是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7" w:name="_Toc23598_WPSOffice_Level2"/>
      <w:bookmarkStart w:id="98" w:name="_Toc15262_WPSOffice_Level2"/>
      <w:bookmarkStart w:id="99" w:name="_Toc5978_WPSOffice_Level2"/>
      <w:bookmarkStart w:id="100" w:name="_Toc18325_WPSOffice_Level2"/>
      <w:bookmarkStart w:id="101" w:name="_Toc32639_WPSOffice_Level2"/>
      <w:bookmarkStart w:id="102" w:name="_Toc15565_WPSOffice_Level2"/>
      <w:r>
        <w:rPr>
          <w:rFonts w:hint="eastAsia" w:ascii="楷体" w:hAnsi="楷体" w:eastAsia="楷体" w:cs="楷体"/>
          <w:bCs/>
          <w:color w:val="auto"/>
          <w:sz w:val="32"/>
          <w:szCs w:val="32"/>
        </w:rPr>
        <w:t>（一）机关运行经费支出情况</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色尼区第二幼儿园</w:t>
      </w:r>
      <w:r>
        <w:rPr>
          <w:rFonts w:hint="eastAsia" w:ascii="仿宋_GB2312" w:hAnsi="ˎ̥" w:eastAsia="仿宋_GB2312"/>
          <w:color w:val="auto"/>
          <w:sz w:val="32"/>
          <w:szCs w:val="32"/>
        </w:rPr>
        <w:t>部门（单位）机关运行经费</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未安排相关资金。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3" w:name="_Toc30383_WPSOffice_Level2"/>
      <w:bookmarkStart w:id="104" w:name="_Toc25333_WPSOffice_Level2"/>
      <w:bookmarkStart w:id="105" w:name="_Toc32689_WPSOffice_Level2"/>
      <w:bookmarkStart w:id="106" w:name="_Toc13084_WPSOffice_Level2"/>
      <w:bookmarkStart w:id="107" w:name="_Toc3131_WPSOffice_Level2"/>
      <w:bookmarkStart w:id="108" w:name="_Toc23966_WPSOffice_Level2"/>
      <w:r>
        <w:rPr>
          <w:rFonts w:hint="eastAsia" w:ascii="楷体" w:hAnsi="楷体" w:eastAsia="楷体" w:cs="楷体"/>
          <w:bCs/>
          <w:color w:val="auto"/>
          <w:sz w:val="32"/>
          <w:szCs w:val="32"/>
        </w:rPr>
        <w:t>（二）政府采购支出情况</w:t>
      </w:r>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色尼区第二幼儿园</w:t>
      </w:r>
      <w:r>
        <w:rPr>
          <w:rFonts w:hint="eastAsia" w:ascii="仿宋_GB2312" w:hAnsi="ˎ̥" w:eastAsia="仿宋_GB2312"/>
          <w:color w:val="auto"/>
          <w:sz w:val="32"/>
          <w:szCs w:val="32"/>
        </w:rPr>
        <w:t>部门（单位）政府采购支出总额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9" w:name="_Toc6016_WPSOffice_Level2"/>
      <w:bookmarkStart w:id="110" w:name="_Toc527_WPSOffice_Level2"/>
      <w:bookmarkStart w:id="111" w:name="_Toc19989_WPSOffice_Level2"/>
      <w:bookmarkStart w:id="112" w:name="_Toc10902_WPSOffice_Level2"/>
      <w:bookmarkStart w:id="113" w:name="_Toc15129_WPSOffice_Level2"/>
      <w:bookmarkStart w:id="114" w:name="_Toc29584_WPSOffice_Level2"/>
      <w:r>
        <w:rPr>
          <w:rFonts w:hint="eastAsia" w:ascii="楷体" w:hAnsi="楷体" w:eastAsia="楷体" w:cs="楷体"/>
          <w:bCs/>
          <w:color w:val="auto"/>
          <w:sz w:val="32"/>
          <w:szCs w:val="32"/>
        </w:rPr>
        <w:t>（三）国有资产占用情况</w:t>
      </w:r>
      <w:bookmarkEnd w:id="109"/>
      <w:bookmarkEnd w:id="110"/>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3727</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bookmarkStart w:id="121" w:name="_GoBack"/>
      <w:bookmarkEnd w:id="12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5" w:name="_Toc11039_WPSOffice_Level1"/>
      <w:bookmarkStart w:id="116" w:name="_Toc17580_WPSOffice_Level1"/>
      <w:bookmarkStart w:id="117" w:name="_Toc4398_WPSOffice_Level1"/>
      <w:bookmarkStart w:id="118" w:name="_Toc8874_WPSOffice_Level1"/>
      <w:bookmarkStart w:id="119" w:name="_Toc15425_WPSOffice_Level1"/>
      <w:bookmarkStart w:id="120" w:name="_Toc8808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（类）（款）（项），；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（类）（款）（项），</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支出功能分类的名词解释，各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单位根据实际支出情况填列，可参阅财政部印发的《</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年政府收支分类科目》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sectPr>
      <w:footerReference r:id="rId3" w:type="default"/>
      <w:footerReference r:id="rId4" w:type="even"/>
      <w:pgSz w:w="11906" w:h="16838"/>
      <w:pgMar w:top="2098" w:right="1587" w:bottom="204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001B7C8B"/>
    <w:multiLevelType w:val="singleLevel"/>
    <w:tmpl w:val="001B7C8B"/>
    <w:lvl w:ilvl="0" w:tentative="0">
      <w:start w:val="2"/>
      <w:numFmt w:val="decimal"/>
      <w:lvlText w:val="%1."/>
      <w:lvlJc w:val="left"/>
      <w:pPr>
        <w:tabs>
          <w:tab w:val="left" w:pos="312"/>
        </w:tabs>
      </w:pPr>
    </w:lvl>
  </w:abstractNum>
  <w:abstractNum w:abstractNumId="2">
    <w:nsid w:val="541523E5"/>
    <w:multiLevelType w:val="singleLevel"/>
    <w:tmpl w:val="541523E5"/>
    <w:lvl w:ilvl="0" w:tentative="0">
      <w:start w:val="1"/>
      <w:numFmt w:val="chineseCounting"/>
      <w:suff w:val="nothing"/>
      <w:lvlText w:val="%1、"/>
      <w:lvlJc w:val="left"/>
      <w:rPr>
        <w:rFonts w:hint="eastAsia"/>
      </w:rPr>
    </w:lvl>
  </w:abstractNum>
  <w:abstractNum w:abstractNumId="3">
    <w:nsid w:val="72109F8D"/>
    <w:multiLevelType w:val="singleLevel"/>
    <w:tmpl w:val="72109F8D"/>
    <w:lvl w:ilvl="0" w:tentative="0">
      <w:start w:val="7"/>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8B74E19"/>
    <w:rsid w:val="09201287"/>
    <w:rsid w:val="0DCB7602"/>
    <w:rsid w:val="0E820A5F"/>
    <w:rsid w:val="0FC80124"/>
    <w:rsid w:val="13454E90"/>
    <w:rsid w:val="136F98C7"/>
    <w:rsid w:val="17427E68"/>
    <w:rsid w:val="1755065F"/>
    <w:rsid w:val="1AC140ED"/>
    <w:rsid w:val="1AFC29C9"/>
    <w:rsid w:val="1CA52F2E"/>
    <w:rsid w:val="1DD36DFA"/>
    <w:rsid w:val="1DFE370B"/>
    <w:rsid w:val="1E3630B9"/>
    <w:rsid w:val="201D512C"/>
    <w:rsid w:val="26EEC2B5"/>
    <w:rsid w:val="29472309"/>
    <w:rsid w:val="2B406E77"/>
    <w:rsid w:val="2C2A0C43"/>
    <w:rsid w:val="2D1E73A5"/>
    <w:rsid w:val="32717154"/>
    <w:rsid w:val="34B63260"/>
    <w:rsid w:val="37FDA7E2"/>
    <w:rsid w:val="38775CDB"/>
    <w:rsid w:val="3A314D88"/>
    <w:rsid w:val="3A746883"/>
    <w:rsid w:val="3AE2696E"/>
    <w:rsid w:val="3CA15DE9"/>
    <w:rsid w:val="3F3E2A26"/>
    <w:rsid w:val="3FE61EE5"/>
    <w:rsid w:val="406508EE"/>
    <w:rsid w:val="408D6263"/>
    <w:rsid w:val="41B40CEE"/>
    <w:rsid w:val="44900FC0"/>
    <w:rsid w:val="48317291"/>
    <w:rsid w:val="485F7024"/>
    <w:rsid w:val="48E70666"/>
    <w:rsid w:val="4C223FD0"/>
    <w:rsid w:val="4C6877E5"/>
    <w:rsid w:val="4D6A468D"/>
    <w:rsid w:val="4EA86137"/>
    <w:rsid w:val="53F15E61"/>
    <w:rsid w:val="56CA7FD0"/>
    <w:rsid w:val="57FA38D1"/>
    <w:rsid w:val="5F7D3333"/>
    <w:rsid w:val="61385890"/>
    <w:rsid w:val="687436E1"/>
    <w:rsid w:val="6DA45C50"/>
    <w:rsid w:val="6E9A7825"/>
    <w:rsid w:val="6F670F9B"/>
    <w:rsid w:val="711547F9"/>
    <w:rsid w:val="737450E0"/>
    <w:rsid w:val="74054476"/>
    <w:rsid w:val="742F38C4"/>
    <w:rsid w:val="74AB66DC"/>
    <w:rsid w:val="74C4154C"/>
    <w:rsid w:val="75956FFF"/>
    <w:rsid w:val="77AA2D01"/>
    <w:rsid w:val="7BB43C23"/>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1</TotalTime>
  <ScaleCrop>false</ScaleCrop>
  <LinksUpToDate>false</LinksUpToDate>
  <CharactersWithSpaces>10608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2025-10-10T11:34:34Z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