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西藏那曲市色尼区色尼区油恰乡小学2024年度部门决算公开报告</w:t>
      </w:r>
    </w:p>
    <w:p>
      <w:pPr>
        <w:spacing w:line="578" w:lineRule="exact"/>
        <w:jc w:val="center"/>
        <w:rPr>
          <w:rFonts w:hint="eastAsia" w:ascii="黑体" w:hAnsi="ˎ̥" w:eastAsia="黑体"/>
          <w:b/>
          <w:color w:val="auto"/>
          <w:sz w:val="32"/>
          <w:szCs w:val="32"/>
          <w:shd w:val="clear" w:color="auto" w:fill="auto"/>
          <w:lang w:val="en-US" w:eastAsia="zh-CN"/>
        </w:rPr>
      </w:pPr>
      <w:r>
        <w:rPr>
          <w:rFonts w:hint="eastAsia" w:ascii="黑体" w:hAnsi="ˎ̥" w:eastAsia="黑体"/>
          <w:b/>
          <w:color w:val="auto"/>
          <w:sz w:val="32"/>
          <w:szCs w:val="32"/>
          <w:shd w:val="clear" w:color="auto" w:fill="auto"/>
          <w:lang w:val="en-US" w:eastAsia="zh-CN"/>
        </w:rPr>
        <w:t xml:space="preserve"> </w:t>
      </w:r>
    </w:p>
    <w:p>
      <w:pPr>
        <w:spacing w:line="578" w:lineRule="exact"/>
        <w:jc w:val="center"/>
        <w:rPr>
          <w:rFonts w:hint="eastAsia" w:ascii="黑体" w:hAnsi="黑体" w:eastAsia="黑体" w:cs="黑体"/>
          <w:color w:val="auto"/>
          <w:sz w:val="44"/>
          <w:szCs w:val="44"/>
          <w:shd w:val="clear" w:color="auto" w:fill="auto"/>
        </w:rPr>
      </w:pPr>
      <w:bookmarkStart w:id="0" w:name="_Toc11440_WPSOffice_Type2"/>
      <w:r>
        <w:rPr>
          <w:rFonts w:hint="eastAsia" w:ascii="黑体" w:hAnsi="黑体" w:eastAsia="黑体" w:cs="黑体"/>
          <w:color w:val="auto"/>
          <w:sz w:val="44"/>
          <w:szCs w:val="44"/>
          <w:shd w:val="clear" w:color="auto" w:fill="auto"/>
        </w:rPr>
        <w:t>目  录</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_Toc1704_WPSOffice_Level1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第一部分 基本情况</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_Toc20274_WPSOffice_Level2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一、部门（单位）职责</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_Toc4833_WPSOffice_Level2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二、机构设置</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_Toc28253_WPSOffice_Level1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年度部门决算公开表</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_Toc27590_WPSOffice_Level1 </w:instrText>
      </w:r>
      <w:r>
        <w:rPr>
          <w:color w:val="auto"/>
          <w:sz w:val="32"/>
          <w:szCs w:val="32"/>
          <w:shd w:val="clear" w:color="auto" w:fill="auto"/>
        </w:rPr>
        <w:fldChar w:fldCharType="separate"/>
      </w:r>
      <w:r>
        <w:rPr>
          <w:rFonts w:hint="eastAsia" w:ascii="黑体" w:hAnsi="黑体" w:eastAsia="黑体" w:cs="黑体"/>
          <w:color w:val="auto"/>
          <w:sz w:val="32"/>
          <w:szCs w:val="32"/>
          <w:shd w:val="clear" w:color="auto" w:fill="auto"/>
        </w:rPr>
        <w:t>第三部分</w:t>
      </w:r>
      <w:r>
        <w:rPr>
          <w:rFonts w:hint="eastAsia"/>
          <w:color w:val="auto"/>
          <w:sz w:val="32"/>
          <w:szCs w:val="32"/>
          <w:shd w:val="clear" w:color="auto" w:fill="auto"/>
        </w:rPr>
        <w:t xml:space="preserve">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_Toc21737_WPSOffice_Level2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一、收入支出总体情况说明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二、收入决算情况说明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三、支出决算情况说明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四、财政拨款收入支出决算</w:t>
      </w:r>
      <w:r>
        <w:rPr>
          <w:rFonts w:hint="eastAsia" w:ascii="仿宋" w:hAnsi="仿宋" w:eastAsia="仿宋" w:cs="仿宋"/>
          <w:bCs/>
          <w:color w:val="auto"/>
          <w:sz w:val="32"/>
          <w:szCs w:val="32"/>
          <w:shd w:val="clear" w:color="auto" w:fill="auto"/>
          <w:lang w:val="en-US" w:eastAsia="zh-CN"/>
        </w:rPr>
        <w:t>总体</w:t>
      </w:r>
      <w:r>
        <w:rPr>
          <w:rFonts w:hint="eastAsia" w:ascii="仿宋" w:hAnsi="仿宋" w:eastAsia="仿宋" w:cs="仿宋"/>
          <w:bCs/>
          <w:color w:val="auto"/>
          <w:sz w:val="32"/>
          <w:szCs w:val="32"/>
          <w:shd w:val="clear" w:color="auto" w:fill="auto"/>
        </w:rPr>
        <w:t>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五、一般公共预算财政拨款支出决算情况说明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5</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六、一般公共预算财政拨款基本支出决算情况说明</w:t>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政府性基金预算财政拨款支出决算情况说明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国有资本经营预算财政拨款支出决算情况说明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8</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九、财政拨款“三公”经费支出决算情况说明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9</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十、预算绩效情况说明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11</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十一、其他重要事项情况说明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13</w:t>
      </w:r>
    </w:p>
    <w:p>
      <w:pPr>
        <w:pStyle w:val="15"/>
        <w:tabs>
          <w:tab w:val="right" w:leader="dot" w:pos="8306"/>
        </w:tabs>
        <w:spacing w:line="578" w:lineRule="exact"/>
        <w:rPr>
          <w:rFonts w:hint="eastAsia" w:ascii="黑体" w:hAnsi="ˎ̥"/>
          <w:b/>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_Toc15425_WPSOffice_Level1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第四部分  名词解释</w:t>
      </w:r>
      <w:r>
        <w:rPr>
          <w:color w:val="auto"/>
          <w:sz w:val="32"/>
          <w:szCs w:val="32"/>
          <w:shd w:val="clear" w:color="auto" w:fill="auto"/>
        </w:rPr>
        <w:tab/>
      </w:r>
      <w:bookmarkStart w:id="1" w:name="_Toc15425_WPSOffice_Level1Page"/>
      <w:r>
        <w:rPr>
          <w:color w:val="auto"/>
          <w:sz w:val="32"/>
          <w:szCs w:val="32"/>
          <w:shd w:val="clear" w:color="auto" w:fill="auto"/>
        </w:rPr>
        <w:t>1</w:t>
      </w:r>
      <w:bookmarkEnd w:id="1"/>
      <w:r>
        <w:rPr>
          <w:color w:val="auto"/>
          <w:sz w:val="32"/>
          <w:szCs w:val="32"/>
          <w:shd w:val="clear" w:color="auto" w:fill="auto"/>
        </w:rPr>
        <w:fldChar w:fldCharType="end"/>
      </w:r>
      <w:bookmarkEnd w:id="0"/>
      <w:r>
        <w:rPr>
          <w:rFonts w:hint="eastAsia"/>
          <w:color w:val="auto"/>
          <w:sz w:val="32"/>
          <w:szCs w:val="32"/>
          <w:shd w:val="clear" w:color="auto" w:fill="auto"/>
        </w:rPr>
        <w:t>5</w:t>
      </w:r>
    </w:p>
    <w:p>
      <w:pPr>
        <w:spacing w:line="578" w:lineRule="exact"/>
        <w:jc w:val="both"/>
        <w:rPr>
          <w:rFonts w:hint="eastAsia" w:ascii="黑体" w:hAnsi="ˎ̥" w:eastAsia="黑体"/>
          <w:color w:val="auto"/>
          <w:sz w:val="32"/>
          <w:szCs w:val="32"/>
          <w:shd w:val="clear" w:color="auto" w:fill="auto"/>
        </w:rPr>
      </w:pPr>
      <w:bookmarkStart w:id="2" w:name="_Toc10720_WPSOffice_Level1"/>
      <w:bookmarkStart w:id="3" w:name="_Toc22941_WPSOffice_Level1"/>
      <w:bookmarkStart w:id="4" w:name="_Toc1704_WPSOffice_Level1"/>
      <w:bookmarkStart w:id="5" w:name="_Toc10049_WPSOffice_Level1"/>
      <w:bookmarkStart w:id="6" w:name="_Toc23465_WPSOffice_Level1"/>
      <w:bookmarkStart w:id="7" w:name="_Toc32433_WPSOffice_Level1"/>
      <w:bookmarkStart w:id="8" w:name="_Toc14159_WPSOffice_Level2"/>
      <w:bookmarkStart w:id="9" w:name="_Toc20205_WPSOffice_Level2"/>
      <w:bookmarkStart w:id="10" w:name="_Toc26580_WPSOffice_Level2"/>
      <w:bookmarkStart w:id="11" w:name="_Toc32622_WPSOffice_Level2"/>
      <w:bookmarkStart w:id="12" w:name="_Toc24238_WPSOffice_Level2"/>
      <w:bookmarkStart w:id="13" w:name="_Toc20274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第一部分  </w:t>
      </w:r>
      <w:bookmarkEnd w:id="2"/>
      <w:bookmarkEnd w:id="3"/>
      <w:bookmarkEnd w:id="4"/>
      <w:bookmarkEnd w:id="5"/>
      <w:bookmarkEnd w:id="6"/>
      <w:bookmarkEnd w:id="7"/>
      <w:r>
        <w:rPr>
          <w:rFonts w:hint="eastAsia" w:ascii="黑体" w:hAnsi="ˎ̥" w:eastAsia="黑体"/>
          <w:color w:val="auto"/>
          <w:sz w:val="32"/>
          <w:szCs w:val="32"/>
          <w:shd w:val="clear" w:color="auto" w:fill="auto"/>
        </w:rPr>
        <w:t>基本情况</w:t>
      </w:r>
    </w:p>
    <w:bookmarkEnd w:id="8"/>
    <w:bookmarkEnd w:id="9"/>
    <w:bookmarkEnd w:id="10"/>
    <w:bookmarkEnd w:id="11"/>
    <w:bookmarkEnd w:id="12"/>
    <w:bookmarkEnd w:id="13"/>
    <w:p>
      <w:pPr>
        <w:numPr>
          <w:ilvl w:val="0"/>
          <w:numId w:val="0"/>
        </w:num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部门（单位）职责</w:t>
      </w:r>
    </w:p>
    <w:p>
      <w:pPr>
        <w:rPr>
          <w:rFonts w:hint="eastAsia" w:ascii="仿宋" w:hAnsi="仿宋" w:eastAsia="仿宋" w:cs="仿宋"/>
          <w:sz w:val="32"/>
          <w:szCs w:val="32"/>
        </w:rPr>
      </w:pPr>
      <w:bookmarkStart w:id="14" w:name="_Toc4833_WPSOffice_Level2"/>
      <w:bookmarkStart w:id="15" w:name="_Toc24059_WPSOffice_Level2"/>
      <w:bookmarkStart w:id="16" w:name="_Toc17796_WPSOffice_Level2"/>
      <w:bookmarkStart w:id="17" w:name="_Toc6572_WPSOffice_Level2"/>
      <w:bookmarkStart w:id="18" w:name="_Toc24474_WPSOffice_Level2"/>
      <w:r>
        <w:rPr>
          <w:rFonts w:hint="eastAsia" w:ascii="仿宋" w:hAnsi="仿宋" w:eastAsia="仿宋" w:cs="仿宋"/>
          <w:sz w:val="32"/>
          <w:szCs w:val="32"/>
        </w:rPr>
        <w:t xml:space="preserve">教务处：核心负责课程安排、教学计划制定、考试组织、成绩管理，是保障教学秩序的核心部门。 </w:t>
      </w:r>
    </w:p>
    <w:p>
      <w:pPr>
        <w:rPr>
          <w:rFonts w:hint="eastAsia" w:ascii="仿宋" w:hAnsi="仿宋" w:eastAsia="仿宋" w:cs="仿宋"/>
          <w:sz w:val="32"/>
          <w:szCs w:val="32"/>
        </w:rPr>
      </w:pPr>
      <w:r>
        <w:rPr>
          <w:rFonts w:hint="eastAsia" w:ascii="仿宋" w:hAnsi="仿宋" w:eastAsia="仿宋" w:cs="仿宋"/>
          <w:sz w:val="32"/>
          <w:szCs w:val="32"/>
        </w:rPr>
        <w:t>学生处（学工部）：聚焦学生日常管理，包括奖助学金评定、评优评先、学生活动统筹、违纪处理等。</w:t>
      </w:r>
    </w:p>
    <w:p>
      <w:pPr>
        <w:rPr>
          <w:rFonts w:hint="eastAsia" w:ascii="仿宋" w:hAnsi="仿宋" w:eastAsia="仿宋" w:cs="仿宋"/>
          <w:sz w:val="32"/>
          <w:szCs w:val="32"/>
        </w:rPr>
      </w:pPr>
      <w:r>
        <w:rPr>
          <w:rFonts w:hint="eastAsia" w:ascii="仿宋" w:hAnsi="仿宋" w:eastAsia="仿宋" w:cs="仿宋"/>
          <w:sz w:val="32"/>
          <w:szCs w:val="32"/>
        </w:rPr>
        <w:t xml:space="preserve">总务处（后勤处）：负责校园“后勤保障”，如食堂运营、宿舍管理、校园维修、绿化保洁。 </w:t>
      </w:r>
    </w:p>
    <w:p>
      <w:pPr>
        <w:rPr>
          <w:rFonts w:hint="eastAsia" w:ascii="仿宋" w:hAnsi="仿宋" w:eastAsia="仿宋" w:cs="仿宋"/>
          <w:sz w:val="32"/>
          <w:szCs w:val="32"/>
        </w:rPr>
      </w:pPr>
      <w:r>
        <w:rPr>
          <w:rFonts w:hint="eastAsia" w:ascii="仿宋" w:hAnsi="仿宋" w:eastAsia="仿宋" w:cs="仿宋"/>
          <w:sz w:val="32"/>
          <w:szCs w:val="32"/>
        </w:rPr>
        <w:t>财务处：处理全校资金相关事务</w:t>
      </w:r>
      <w:r>
        <w:rPr>
          <w:rFonts w:hint="eastAsia" w:ascii="仿宋" w:hAnsi="仿宋" w:eastAsia="仿宋" w:cs="仿宋"/>
          <w:sz w:val="32"/>
          <w:szCs w:val="32"/>
          <w:lang w:eastAsia="zh-CN"/>
        </w:rPr>
        <w:t>、</w:t>
      </w:r>
      <w:r>
        <w:rPr>
          <w:rFonts w:hint="eastAsia" w:ascii="仿宋" w:hAnsi="仿宋" w:eastAsia="仿宋" w:cs="仿宋"/>
          <w:sz w:val="32"/>
          <w:szCs w:val="32"/>
        </w:rPr>
        <w:t>费用报销</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少工委：主导学生思想引领与校园文化建设，负责社团管理、大型校园活动（如晚会、竞赛）组织、志愿者服务统筹。</w:t>
      </w:r>
    </w:p>
    <w:p>
      <w:pPr>
        <w:rPr>
          <w:rFonts w:hint="eastAsia" w:ascii="仿宋" w:hAnsi="仿宋" w:eastAsia="仿宋" w:cs="仿宋"/>
          <w:sz w:val="32"/>
          <w:szCs w:val="32"/>
          <w:lang w:eastAsia="zh-CN"/>
        </w:rPr>
      </w:pPr>
      <w:r>
        <w:rPr>
          <w:rFonts w:hint="eastAsia" w:ascii="仿宋" w:hAnsi="仿宋" w:eastAsia="仿宋" w:cs="仿宋"/>
          <w:sz w:val="32"/>
          <w:szCs w:val="32"/>
        </w:rPr>
        <w:t>藏文教研组、语文教研组、数学教研组、综合教研组四组管理</w:t>
      </w:r>
      <w:r>
        <w:rPr>
          <w:rFonts w:hint="eastAsia" w:ascii="仿宋" w:hAnsi="仿宋" w:eastAsia="仿宋" w:cs="仿宋"/>
          <w:sz w:val="32"/>
          <w:szCs w:val="32"/>
          <w:lang w:val="en-US" w:eastAsia="zh-CN"/>
        </w:rPr>
        <w:t>教师的教研活动等任务</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党建办：统筹、协调、落实学校党的建设各项工作。</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办公室：负责校长办公会、全校性会议的组织筹备、起草学校工作计划、总结、通知、传达上级部门的政策文件与指令。</w:t>
      </w:r>
    </w:p>
    <w:p>
      <w:p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shd w:val="clear" w:color="auto" w:fill="auto"/>
          <w:lang w:eastAsia="zh-CN"/>
        </w:rPr>
      </w:pPr>
      <w:bookmarkStart w:id="19" w:name="_Toc25738_WPSOffice_Level2"/>
      <w:bookmarkStart w:id="20" w:name="_Toc24421_WPSOffice_Level2"/>
      <w:r>
        <w:rPr>
          <w:rFonts w:hint="eastAsia" w:ascii="仿宋_GB2312" w:hAnsi="ˎ̥" w:eastAsia="仿宋_GB2312"/>
          <w:color w:val="auto"/>
          <w:sz w:val="32"/>
          <w:szCs w:val="32"/>
          <w:shd w:val="clear" w:color="auto" w:fill="auto"/>
        </w:rPr>
        <w:t>纳入</w:t>
      </w:r>
      <w:r>
        <w:rPr>
          <w:rFonts w:hint="eastAsia" w:ascii="仿宋_GB2312" w:hAnsi="ˎ̥" w:eastAsia="仿宋_GB2312"/>
          <w:color w:val="auto"/>
          <w:sz w:val="32"/>
          <w:szCs w:val="32"/>
          <w:shd w:val="clear" w:color="auto" w:fill="auto"/>
          <w:lang w:val="en-US" w:eastAsia="zh-CN"/>
        </w:rPr>
        <w:t>色尼区油恰乡小学</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年度部门决算编制范围的单位共</w:t>
      </w:r>
      <w:r>
        <w:rPr>
          <w:rFonts w:hint="eastAsia" w:ascii="仿宋_GB2312" w:hAnsi="ˎ̥" w:eastAsia="仿宋_GB2312"/>
          <w:color w:val="auto"/>
          <w:sz w:val="32"/>
          <w:szCs w:val="32"/>
          <w:shd w:val="clear" w:color="auto" w:fill="auto"/>
          <w:lang w:val="en-US" w:eastAsia="zh-CN"/>
        </w:rPr>
        <w:t>1</w:t>
      </w:r>
      <w:r>
        <w:rPr>
          <w:rFonts w:hint="eastAsia" w:ascii="仿宋_GB2312" w:hAnsi="ˎ̥" w:eastAsia="仿宋_GB2312"/>
          <w:color w:val="auto"/>
          <w:sz w:val="32"/>
          <w:szCs w:val="32"/>
          <w:shd w:val="clear" w:color="auto" w:fill="auto"/>
        </w:rPr>
        <w:t>个</w:t>
      </w:r>
      <w:r>
        <w:rPr>
          <w:rFonts w:hint="eastAsia" w:ascii="仿宋_GB2312" w:hAnsi="ˎ̥" w:eastAsia="仿宋_GB2312"/>
          <w:color w:val="auto"/>
          <w:sz w:val="32"/>
          <w:szCs w:val="32"/>
          <w:shd w:val="clear" w:color="auto" w:fill="auto"/>
          <w:lang w:eastAsia="zh-CN"/>
        </w:rPr>
        <w:t>。</w:t>
      </w:r>
    </w:p>
    <w:p>
      <w:pPr>
        <w:spacing w:line="578" w:lineRule="exact"/>
        <w:ind w:firstLine="640" w:firstLineChars="200"/>
        <w:rPr>
          <w:rFonts w:hint="eastAsia" w:ascii="仿宋" w:hAnsi="仿宋" w:eastAsia="仿宋" w:cs="仿宋"/>
          <w:color w:val="auto"/>
          <w:sz w:val="32"/>
          <w:szCs w:val="32"/>
          <w:shd w:val="clear" w:color="auto" w:fill="auto"/>
        </w:rPr>
      </w:pP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1</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色尼区油恰乡</w:t>
      </w:r>
      <w:r>
        <w:rPr>
          <w:rFonts w:hint="eastAsia" w:ascii="仿宋" w:hAnsi="仿宋" w:eastAsia="仿宋" w:cs="仿宋"/>
          <w:color w:val="auto"/>
          <w:sz w:val="32"/>
          <w:szCs w:val="32"/>
          <w:shd w:val="clear" w:color="auto" w:fill="auto"/>
          <w:lang w:val="en-US" w:eastAsia="zh-CN"/>
        </w:rPr>
        <w:t>小学</w:t>
      </w:r>
      <w:r>
        <w:rPr>
          <w:rFonts w:hint="eastAsia" w:ascii="仿宋" w:hAnsi="仿宋" w:eastAsia="仿宋" w:cs="仿宋"/>
          <w:color w:val="auto"/>
          <w:sz w:val="32"/>
          <w:szCs w:val="32"/>
          <w:shd w:val="clear" w:color="auto" w:fill="auto"/>
        </w:rPr>
        <w:t>部门本级</w:t>
      </w:r>
    </w:p>
    <w:p>
      <w:pPr>
        <w:numPr>
          <w:ilvl w:val="0"/>
          <w:numId w:val="0"/>
        </w:numPr>
        <w:spacing w:line="578" w:lineRule="exact"/>
        <w:rPr>
          <w:rFonts w:hint="default" w:ascii="方正楷体_GBK" w:hAnsi="方正楷体_GBK" w:eastAsia="方正楷体_GBK" w:cs="方正楷体_GBK"/>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统一社会信用代码12542421MB076326XC</w:t>
      </w:r>
      <w:r>
        <w:rPr>
          <w:rFonts w:hint="eastAsia" w:ascii="方正楷体_GBK" w:hAnsi="方正楷体_GBK" w:eastAsia="方正楷体_GBK" w:cs="方正楷体_GBK"/>
          <w:b w:val="0"/>
          <w:bCs w:val="0"/>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单位代码：</w:t>
      </w:r>
      <w:r>
        <w:rPr>
          <w:rFonts w:hint="eastAsia" w:ascii="仿宋" w:hAnsi="仿宋" w:eastAsia="仿宋" w:cs="仿宋"/>
          <w:color w:val="auto"/>
          <w:sz w:val="32"/>
          <w:szCs w:val="32"/>
          <w:shd w:val="clear" w:color="auto" w:fill="auto"/>
          <w:lang w:val="en-US" w:eastAsia="zh-CN"/>
        </w:rPr>
        <w:t>014019</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单位预算级次：</w:t>
      </w:r>
      <w:r>
        <w:rPr>
          <w:rFonts w:hint="eastAsia" w:ascii="仿宋" w:hAnsi="仿宋" w:eastAsia="仿宋" w:cs="仿宋"/>
          <w:color w:val="auto"/>
          <w:sz w:val="32"/>
          <w:szCs w:val="32"/>
          <w:shd w:val="clear" w:color="auto" w:fill="auto"/>
          <w:lang w:val="en-US" w:eastAsia="zh-CN"/>
        </w:rPr>
        <w:t>2；</w:t>
      </w:r>
      <w:r>
        <w:rPr>
          <w:rFonts w:hint="eastAsia" w:ascii="仿宋" w:hAnsi="仿宋" w:eastAsia="仿宋" w:cs="仿宋"/>
          <w:color w:val="auto"/>
          <w:sz w:val="32"/>
          <w:szCs w:val="32"/>
          <w:shd w:val="clear" w:color="auto" w:fill="auto"/>
        </w:rPr>
        <w:t>单位类型</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事业单位</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 xml:space="preserve"> 预算级次</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县区级</w:t>
      </w:r>
      <w:r>
        <w:rPr>
          <w:rFonts w:hint="eastAsia" w:ascii="仿宋" w:hAnsi="仿宋" w:eastAsia="仿宋" w:cs="仿宋"/>
          <w:color w:val="auto"/>
          <w:sz w:val="32"/>
          <w:szCs w:val="32"/>
          <w:shd w:val="clear" w:color="auto" w:fill="auto"/>
        </w:rPr>
        <w:t xml:space="preserve"> </w:t>
      </w:r>
      <w:r>
        <w:rPr>
          <w:rFonts w:hint="eastAsia" w:ascii="仿宋" w:hAnsi="仿宋" w:eastAsia="仿宋" w:cs="仿宋"/>
          <w:color w:val="auto"/>
          <w:sz w:val="32"/>
          <w:szCs w:val="32"/>
          <w:shd w:val="clear" w:color="auto" w:fill="auto"/>
          <w:lang w:eastAsia="zh-CN"/>
        </w:rPr>
        <w:t>。</w:t>
      </w:r>
      <w:r>
        <w:rPr>
          <w:rFonts w:hint="eastAsia" w:ascii="方正楷体_GBK" w:hAnsi="方正楷体_GBK" w:eastAsia="方正楷体_GBK" w:cs="方正楷体_GBK"/>
          <w:color w:val="auto"/>
          <w:sz w:val="32"/>
          <w:szCs w:val="32"/>
          <w:shd w:val="clear" w:color="auto" w:fill="auto"/>
        </w:rPr>
        <w:t xml:space="preserve">            </w:t>
      </w:r>
    </w:p>
    <w:p>
      <w:pPr>
        <w:spacing w:line="578" w:lineRule="exact"/>
        <w:jc w:val="center"/>
        <w:rPr>
          <w:rFonts w:hint="eastAsia" w:ascii="黑体" w:hAnsi="ˎ̥" w:eastAsia="黑体"/>
          <w:color w:val="auto"/>
          <w:sz w:val="32"/>
          <w:szCs w:val="32"/>
          <w:shd w:val="clear" w:color="auto" w:fill="auto"/>
        </w:rPr>
      </w:pPr>
    </w:p>
    <w:p>
      <w:pPr>
        <w:numPr>
          <w:ilvl w:val="0"/>
          <w:numId w:val="0"/>
        </w:numPr>
        <w:spacing w:line="578" w:lineRule="exact"/>
        <w:rPr>
          <w:rFonts w:hint="eastAsia" w:ascii="黑体" w:hAnsi="ˎ̥" w:eastAsia="黑体"/>
          <w:color w:val="auto"/>
          <w:sz w:val="32"/>
          <w:szCs w:val="32"/>
          <w:shd w:val="clear" w:color="auto" w:fill="auto"/>
        </w:rPr>
      </w:pPr>
      <w:r>
        <w:rPr>
          <w:rFonts w:hint="eastAsia" w:ascii="方正楷体_GBK" w:hAnsi="方正楷体_GBK" w:eastAsia="方正楷体_GBK" w:cs="方正楷体_GBK"/>
          <w:color w:val="auto"/>
          <w:sz w:val="32"/>
          <w:szCs w:val="32"/>
          <w:shd w:val="clear" w:color="auto" w:fill="auto"/>
        </w:rPr>
        <w:t xml:space="preserve">           </w:t>
      </w:r>
      <w:bookmarkEnd w:id="19"/>
      <w:bookmarkEnd w:id="20"/>
      <w:bookmarkStart w:id="21" w:name="_Toc30690_WPSOffice_Level1"/>
      <w:bookmarkStart w:id="22" w:name="_Toc8164_WPSOffice_Level1"/>
      <w:bookmarkStart w:id="23" w:name="_Toc6234_WPSOffice_Level1"/>
      <w:bookmarkStart w:id="24" w:name="_Toc28253_WPSOffice_Level1"/>
      <w:bookmarkStart w:id="25" w:name="_Toc15521_WPSOffice_Level1"/>
      <w:bookmarkStart w:id="26" w:name="_Toc30451_WPSOffice_Level1"/>
      <w:bookmarkStart w:id="27" w:name="_Toc32695_WPSOffice_Level2"/>
      <w:bookmarkStart w:id="28" w:name="_Toc8867_WPSOffice_Level2"/>
      <w:bookmarkStart w:id="29" w:name="_Toc32472_WPSOffice_Level2"/>
      <w:bookmarkStart w:id="30" w:name="_Toc11518_WPSOffice_Level2"/>
      <w:bookmarkStart w:id="31" w:name="_Toc4029_WPSOffice_Level2"/>
      <w:bookmarkStart w:id="32" w:name="_Toc6211_WPSOffice_Level2"/>
      <w:r>
        <w:rPr>
          <w:rFonts w:hint="eastAsia" w:ascii="方正楷体_GBK" w:hAnsi="方正楷体_GBK" w:eastAsia="方正楷体_GBK" w:cs="方正楷体_GBK"/>
          <w:color w:val="auto"/>
          <w:sz w:val="32"/>
          <w:szCs w:val="32"/>
          <w:shd w:val="clear" w:color="auto" w:fill="auto"/>
          <w:lang w:val="en-US" w:eastAsia="zh-CN"/>
        </w:rPr>
        <w:t xml:space="preserve"> </w:t>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年度部门决算公开报表</w:t>
      </w:r>
      <w:bookmarkEnd w:id="21"/>
      <w:bookmarkEnd w:id="22"/>
      <w:bookmarkEnd w:id="23"/>
      <w:bookmarkEnd w:id="24"/>
      <w:bookmarkEnd w:id="25"/>
      <w:bookmarkEnd w:id="26"/>
    </w:p>
    <w:p>
      <w:pPr>
        <w:spacing w:line="578" w:lineRule="exact"/>
        <w:ind w:firstLine="640" w:firstLineChars="20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shd w:val="clear" w:color="auto" w:fill="auto"/>
        </w:rPr>
      </w:pPr>
      <w:bookmarkStart w:id="33" w:name="_Toc25608_WPSOffice_Level2"/>
      <w:bookmarkStart w:id="34" w:name="_Toc30334_WPSOffice_Level2"/>
      <w:bookmarkStart w:id="35" w:name="_Toc26621_WPSOffice_Level2"/>
      <w:bookmarkStart w:id="36" w:name="_Toc14349_WPSOffice_Level2"/>
      <w:bookmarkStart w:id="37" w:name="_Toc28622_WPSOffice_Level2"/>
      <w:bookmarkStart w:id="38" w:name="_Toc23139_WPSOffice_Level2"/>
      <w:r>
        <w:rPr>
          <w:rFonts w:hint="eastAsia" w:ascii="黑体" w:hAnsi="黑体" w:eastAsia="黑体" w:cs="黑体"/>
          <w:color w:val="auto"/>
          <w:sz w:val="32"/>
          <w:szCs w:val="32"/>
          <w:shd w:val="clear" w:color="auto" w:fill="auto"/>
        </w:rPr>
        <w:t>二、收入决算公开表</w:t>
      </w:r>
      <w:bookmarkEnd w:id="33"/>
      <w:bookmarkEnd w:id="34"/>
      <w:bookmarkEnd w:id="35"/>
      <w:bookmarkEnd w:id="36"/>
      <w:bookmarkEnd w:id="37"/>
      <w:bookmarkEnd w:id="38"/>
      <w:bookmarkStart w:id="39" w:name="_Toc17626_WPSOffice_Level2"/>
      <w:bookmarkStart w:id="40" w:name="_Toc13854_WPSOffice_Level2"/>
      <w:bookmarkStart w:id="41" w:name="_Toc5489_WPSOffice_Level2"/>
      <w:bookmarkStart w:id="42" w:name="_Toc3262_WPSOffice_Level2"/>
      <w:bookmarkStart w:id="43" w:name="_Toc17858_WPSOffice_Level2"/>
      <w:bookmarkStart w:id="44" w:name="_Toc14658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三、支出决算公开表</w:t>
      </w:r>
      <w:bookmarkEnd w:id="39"/>
      <w:bookmarkEnd w:id="40"/>
      <w:bookmarkEnd w:id="41"/>
      <w:bookmarkEnd w:id="42"/>
      <w:bookmarkEnd w:id="43"/>
      <w:bookmarkEnd w:id="44"/>
      <w:bookmarkStart w:id="45" w:name="_Toc13701_WPSOffice_Level2"/>
      <w:bookmarkStart w:id="46" w:name="_Toc23591_WPSOffice_Level2"/>
      <w:bookmarkStart w:id="47" w:name="_Toc4265_WPSOffice_Level2"/>
      <w:bookmarkStart w:id="48" w:name="_Toc7988_WPSOffice_Level2"/>
      <w:bookmarkStart w:id="49" w:name="_Toc21415_WPSOffice_Level2"/>
      <w:bookmarkStart w:id="50" w:name="_Toc23493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shd w:val="clear" w:color="auto" w:fill="auto"/>
        </w:rPr>
      </w:pPr>
      <w:bookmarkStart w:id="51" w:name="_Toc22783_WPSOffice_Level2"/>
      <w:bookmarkStart w:id="52" w:name="_Toc7879_WPSOffice_Level2"/>
      <w:bookmarkStart w:id="53" w:name="_Toc25166_WPSOffice_Level2"/>
      <w:bookmarkStart w:id="54" w:name="_Toc23829_WPSOffice_Level2"/>
      <w:bookmarkStart w:id="55" w:name="_Toc2158_WPSOffice_Level2"/>
      <w:bookmarkStart w:id="56" w:name="_Toc13516_WPSOffice_Level2"/>
      <w:r>
        <w:rPr>
          <w:rFonts w:hint="eastAsia" w:ascii="黑体" w:hAnsi="黑体" w:eastAsia="黑体" w:cs="黑体"/>
          <w:color w:val="auto"/>
          <w:sz w:val="32"/>
          <w:szCs w:val="32"/>
          <w:shd w:val="clear" w:color="auto" w:fill="auto"/>
        </w:rPr>
        <w:t>五、一般公共预算财政拨款收入支出决算</w:t>
      </w:r>
      <w:bookmarkEnd w:id="51"/>
      <w:bookmarkEnd w:id="52"/>
      <w:bookmarkEnd w:id="53"/>
      <w:bookmarkEnd w:id="54"/>
      <w:r>
        <w:rPr>
          <w:rFonts w:hint="eastAsia" w:ascii="黑体" w:hAnsi="黑体" w:eastAsia="黑体" w:cs="黑体"/>
          <w:color w:val="auto"/>
          <w:sz w:val="32"/>
          <w:szCs w:val="32"/>
          <w:shd w:val="clear" w:color="auto" w:fill="auto"/>
        </w:rPr>
        <w:t>公开表</w:t>
      </w:r>
      <w:bookmarkEnd w:id="55"/>
      <w:bookmarkEnd w:id="56"/>
      <w:bookmarkStart w:id="57" w:name="_Toc25362_WPSOffice_Level2"/>
      <w:bookmarkStart w:id="58" w:name="_Toc17833_WPSOffice_Level2"/>
      <w:bookmarkStart w:id="59" w:name="_Toc5343_WPSOffice_Level2"/>
      <w:bookmarkStart w:id="60" w:name="_Toc17283_WPSOffice_Level2"/>
      <w:bookmarkStart w:id="61" w:name="_Toc8373_WPSOffice_Level2"/>
      <w:bookmarkStart w:id="62" w:name="_Toc2632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bookmarkStart w:id="63" w:name="_Toc13345_WPSOffice_Level2"/>
      <w:bookmarkStart w:id="64" w:name="_Toc1533_WPSOffice_Level2"/>
      <w:bookmarkStart w:id="65" w:name="_Toc21310_WPSOffice_Level2"/>
      <w:bookmarkStart w:id="66" w:name="_Toc5594_WPSOffice_Level2"/>
      <w:bookmarkStart w:id="67" w:name="_Toc6020_WPSOffice_Level2"/>
      <w:bookmarkStart w:id="68" w:name="_Toc11799_WPSOffice_Level2"/>
      <w:r>
        <w:rPr>
          <w:rFonts w:hint="eastAsia" w:ascii="黑体" w:hAnsi="黑体" w:eastAsia="黑体" w:cs="黑体"/>
          <w:color w:val="auto"/>
          <w:sz w:val="32"/>
          <w:szCs w:val="32"/>
          <w:shd w:val="clear" w:color="auto" w:fill="auto"/>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八、国有资本经营预算财政拨款收入支出决算公开表</w:t>
      </w:r>
    </w:p>
    <w:p>
      <w:pPr>
        <w:spacing w:line="578" w:lineRule="exact"/>
        <w:ind w:firstLine="640"/>
        <w:rPr>
          <w:rFonts w:hint="eastAsia" w:ascii="黑体" w:hAnsi="黑体" w:eastAsia="黑体" w:cs="黑体"/>
          <w:color w:val="auto"/>
          <w:sz w:val="32"/>
          <w:szCs w:val="32"/>
          <w:shd w:val="clear" w:color="auto" w:fill="auto"/>
        </w:rPr>
      </w:pPr>
      <w:bookmarkStart w:id="69" w:name="_Toc1820_WPSOffice_Level2"/>
      <w:bookmarkStart w:id="70" w:name="_Toc9377_WPSOffice_Level2"/>
      <w:bookmarkStart w:id="71" w:name="_Toc29886_WPSOffice_Level2"/>
      <w:bookmarkStart w:id="72" w:name="_Toc19961_WPSOffice_Level2"/>
      <w:r>
        <w:rPr>
          <w:rFonts w:hint="eastAsia" w:ascii="黑体" w:hAnsi="黑体" w:eastAsia="黑体" w:cs="黑体"/>
          <w:color w:val="auto"/>
          <w:sz w:val="32"/>
          <w:szCs w:val="32"/>
          <w:shd w:val="clear" w:color="auto" w:fill="auto"/>
        </w:rPr>
        <w:t>九、财政拨款“三公”经费支出决算</w:t>
      </w:r>
      <w:bookmarkEnd w:id="69"/>
      <w:bookmarkEnd w:id="70"/>
      <w:bookmarkEnd w:id="71"/>
      <w:bookmarkEnd w:id="72"/>
      <w:r>
        <w:rPr>
          <w:rFonts w:hint="eastAsia" w:ascii="黑体" w:hAnsi="黑体" w:eastAsia="黑体" w:cs="黑体"/>
          <w:color w:val="auto"/>
          <w:sz w:val="32"/>
          <w:szCs w:val="32"/>
          <w:shd w:val="clear" w:color="auto" w:fill="auto"/>
        </w:rPr>
        <w:t>公开表</w:t>
      </w:r>
    </w:p>
    <w:p>
      <w:pPr>
        <w:spacing w:line="578" w:lineRule="exact"/>
        <w:ind w:firstLine="640"/>
        <w:rPr>
          <w:rFonts w:hint="eastAsia" w:ascii="仿宋" w:hAnsi="仿宋" w:eastAsia="仿宋" w:cs="仿宋"/>
          <w:color w:val="auto"/>
          <w:w w:val="100"/>
          <w:sz w:val="32"/>
          <w:szCs w:val="32"/>
          <w:shd w:val="clear" w:color="auto" w:fill="auto"/>
        </w:rPr>
      </w:pPr>
      <w:r>
        <w:rPr>
          <w:rFonts w:hint="eastAsia" w:ascii="仿宋" w:hAnsi="仿宋" w:eastAsia="仿宋" w:cs="仿宋"/>
          <w:color w:val="auto"/>
          <w:w w:val="100"/>
          <w:sz w:val="32"/>
          <w:szCs w:val="32"/>
          <w:shd w:val="clear" w:color="auto" w:fill="auto"/>
        </w:rPr>
        <w:t xml:space="preserve">以上报表见附件1。   </w:t>
      </w:r>
    </w:p>
    <w:p>
      <w:pPr>
        <w:spacing w:line="578" w:lineRule="exact"/>
        <w:rPr>
          <w:rFonts w:hint="eastAsia" w:ascii="黑体" w:hAnsi="黑体" w:eastAsia="黑体" w:cs="黑体"/>
          <w:color w:val="auto"/>
          <w:sz w:val="32"/>
          <w:szCs w:val="32"/>
          <w:shd w:val="clear" w:color="auto" w:fill="auto"/>
        </w:rPr>
      </w:pPr>
    </w:p>
    <w:p>
      <w:pPr>
        <w:spacing w:line="578" w:lineRule="exact"/>
        <w:jc w:val="center"/>
        <w:rPr>
          <w:rFonts w:hint="eastAsia" w:ascii="黑体" w:hAnsi="ˎ̥" w:eastAsia="黑体"/>
          <w:color w:val="auto"/>
          <w:sz w:val="32"/>
          <w:szCs w:val="32"/>
          <w:shd w:val="clear" w:color="auto" w:fill="auto"/>
        </w:rPr>
      </w:pPr>
      <w:bookmarkStart w:id="73" w:name="_Toc28629_WPSOffice_Level1"/>
      <w:bookmarkStart w:id="74" w:name="_Toc16686_WPSOffice_Level1"/>
      <w:bookmarkStart w:id="75" w:name="_Toc27590_WPSOffice_Level1"/>
      <w:bookmarkStart w:id="76" w:name="_Toc29683_WPSOffice_Level1"/>
      <w:bookmarkStart w:id="77" w:name="_Toc31264_WPSOffice_Level1"/>
      <w:bookmarkStart w:id="78" w:name="_Toc4402_WPSOffice_Level1"/>
      <w:r>
        <w:rPr>
          <w:rFonts w:hint="eastAsia" w:ascii="黑体" w:hAnsi="ˎ̥" w:eastAsia="黑体"/>
          <w:color w:val="auto"/>
          <w:sz w:val="32"/>
          <w:szCs w:val="32"/>
          <w:shd w:val="clear" w:color="auto" w:fill="auto"/>
        </w:rPr>
        <w:t xml:space="preserve">第三部分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一、收入支出总体情况说明</w:t>
      </w:r>
      <w:r>
        <w:rPr>
          <w:rFonts w:hint="eastAsia" w:ascii="黑体" w:hAnsi="黑体" w:eastAsia="黑体" w:cs="黑体"/>
          <w:bCs/>
          <w:color w:val="auto"/>
          <w:sz w:val="32"/>
          <w:szCs w:val="32"/>
          <w:shd w:val="clear" w:color="auto" w:fill="auto"/>
        </w:rPr>
        <w:br w:type="textWrapping"/>
      </w:r>
      <w:r>
        <w:rPr>
          <w:rFonts w:hint="eastAsia" w:ascii="楷体_GB2312" w:hAnsi="ˎ̥" w:eastAsia="楷体_GB2312"/>
          <w:color w:val="auto"/>
          <w:sz w:val="32"/>
          <w:szCs w:val="32"/>
          <w:shd w:val="clear" w:color="auto" w:fill="auto"/>
        </w:rPr>
        <w:t xml:space="preserve">    </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年度收入总计</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万元，支出总计</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万元，与202</w:t>
      </w:r>
      <w:r>
        <w:rPr>
          <w:rFonts w:hint="eastAsia" w:ascii="仿宋_GB2312" w:hAnsi="ˎ̥" w:eastAsia="仿宋_GB2312"/>
          <w:color w:val="auto"/>
          <w:sz w:val="32"/>
          <w:szCs w:val="32"/>
          <w:shd w:val="clear" w:color="auto" w:fill="auto"/>
          <w:lang w:val="en-US" w:eastAsia="zh-CN"/>
        </w:rPr>
        <w:t>3</w:t>
      </w:r>
      <w:r>
        <w:rPr>
          <w:rFonts w:hint="eastAsia" w:ascii="仿宋_GB2312" w:hAnsi="ˎ̥" w:eastAsia="仿宋_GB2312"/>
          <w:color w:val="auto"/>
          <w:sz w:val="32"/>
          <w:szCs w:val="32"/>
          <w:shd w:val="clear" w:color="auto" w:fill="auto"/>
        </w:rPr>
        <w:t>年度相比，收入、支出总计各增加</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收入</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w:t>
      </w:r>
      <w:r>
        <w:rPr>
          <w:rFonts w:ascii="仿宋_GB2312" w:hAnsi="ˎ̥" w:eastAsia="仿宋_GB2312"/>
          <w:color w:val="auto"/>
          <w:sz w:val="32"/>
          <w:szCs w:val="32"/>
          <w:shd w:val="clear" w:color="auto" w:fill="auto"/>
        </w:rPr>
        <w:t>收入</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使用非财政拨款结余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lang w:eastAsia="zh-CN"/>
        </w:rPr>
      </w:pPr>
      <w:r>
        <w:rPr>
          <w:rFonts w:hint="eastAsia" w:ascii="楷体" w:hAnsi="楷体" w:eastAsia="楷体" w:cs="楷体"/>
          <w:color w:val="auto"/>
          <w:sz w:val="32"/>
          <w:szCs w:val="32"/>
          <w:shd w:val="clear" w:color="auto" w:fill="auto"/>
        </w:rPr>
        <w:t>（二</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支出</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结余分配</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主要是无结转资金，较2023年决算数增加0万元，增长0%，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left="319" w:leftChars="152"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较2023年决算数增加0万元，增长0%，</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年度相关决算数据可取自附件财决公开01、02</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03</w:t>
      </w:r>
      <w:r>
        <w:rPr>
          <w:rFonts w:hint="eastAsia" w:ascii="仿宋_GB2312" w:hAnsi="ˎ̥" w:eastAsia="仿宋_GB2312"/>
          <w:color w:val="auto"/>
          <w:sz w:val="32"/>
          <w:szCs w:val="32"/>
          <w:shd w:val="clear" w:color="auto" w:fill="auto"/>
        </w:rPr>
        <w:t>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年度相关决算数据可取自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年度部门决算报表财决01表《收入支出决算总表》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二、收入决算情况说明</w:t>
      </w:r>
      <w:r>
        <w:rPr>
          <w:rFonts w:hint="eastAsia" w:ascii="黑体" w:hAnsi="黑体" w:eastAsia="黑体" w:cs="黑体"/>
          <w:bCs/>
          <w:color w:val="auto"/>
          <w:sz w:val="32"/>
          <w:szCs w:val="32"/>
          <w:shd w:val="clear" w:color="auto" w:fill="auto"/>
        </w:rPr>
        <w:br w:type="textWrapping"/>
      </w:r>
      <w:r>
        <w:rPr>
          <w:rFonts w:hint="eastAsia" w:ascii="仿宋_GB2312" w:hAnsi="ˎ̥" w:eastAsia="仿宋_GB2312"/>
          <w:color w:val="auto"/>
          <w:sz w:val="32"/>
          <w:szCs w:val="32"/>
          <w:shd w:val="clear" w:color="auto" w:fill="auto"/>
        </w:rPr>
        <w:t xml:space="preserve">    本年收入</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万元，其中：财政拨款收入</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%；上级补助收入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%；事业收入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%；附属单位上缴收入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%；其他收入</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上述各项收入数可取自财决公开02表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万元，其中：基本支出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%；项目支出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%；上缴上级支出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%；对附属单位补助支出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上述各项支出数可取自财决公开03表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年度财政拨款收入</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万元，支出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与2023年度相比，财政拨款收入增加</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lang w:val="en-US" w:eastAsia="zh-CN"/>
        </w:rPr>
        <w:t>万元，增长100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财政拨款年初结转结余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shd w:val="clear" w:color="auto" w:fill="auto"/>
        </w:rPr>
      </w:pPr>
      <w:r>
        <w:rPr>
          <w:rFonts w:hint="eastAsia" w:ascii="仿宋_GB2312" w:hAnsi="ˎ̥" w:eastAsia="仿宋_GB2312"/>
          <w:color w:val="auto"/>
          <w:sz w:val="32"/>
          <w:szCs w:val="32"/>
          <w:shd w:val="clear" w:color="auto" w:fill="auto"/>
        </w:rPr>
        <w:t>财政拨款年末结转结余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highlight w:val="none"/>
          <w:shd w:val="clear" w:color="auto" w:fill="auto"/>
          <w:lang w:val="en-US" w:eastAsia="zh-CN"/>
        </w:rPr>
        <w:t>是无结转资金</w:t>
      </w:r>
      <w:r>
        <w:rPr>
          <w:rFonts w:hint="eastAsia" w:ascii="仿宋_GB2312" w:hAnsi="ˎ̥"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年度决算相关数据可取自财决公开04表。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年度决算相关数据可取自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年度部门决算报表财决01-1表《财政拨款收入支出决算总表》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79" w:name="_Toc13694_WPSOffice_Level2"/>
      <w:bookmarkStart w:id="80" w:name="_Toc23005_WPSOffice_Level2"/>
      <w:bookmarkStart w:id="81" w:name="_Toc19665_WPSOffice_Level2"/>
      <w:bookmarkStart w:id="82" w:name="_Toc17398_WPSOffice_Level2"/>
      <w:bookmarkStart w:id="83" w:name="_Toc21737_WPSOffice_Level2"/>
      <w:bookmarkStart w:id="84" w:name="_Toc9989_WPSOffice_Level2"/>
      <w:r>
        <w:rPr>
          <w:rFonts w:hint="eastAsia" w:ascii="楷体" w:hAnsi="楷体" w:eastAsia="楷体" w:cs="楷体"/>
          <w:color w:val="auto"/>
          <w:sz w:val="32"/>
          <w:szCs w:val="32"/>
          <w:shd w:val="clear" w:color="auto" w:fill="auto"/>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年度相比，一般公共预算财政拨款支出增加</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85" w:name="_Toc27767_WPSOffice_Level2"/>
      <w:bookmarkStart w:id="86" w:name="_Toc19075_WPSOffice_Level2"/>
      <w:bookmarkStart w:id="87" w:name="_Toc2711_WPSOffice_Level2"/>
      <w:bookmarkStart w:id="88" w:name="_Toc18793_WPSOffice_Level2"/>
      <w:bookmarkStart w:id="89" w:name="_Toc23864_WPSOffice_Level2"/>
      <w:bookmarkStart w:id="90" w:name="_Toc19535_WPSOffice_Level2"/>
      <w:r>
        <w:rPr>
          <w:rFonts w:hint="eastAsia" w:ascii="楷体" w:hAnsi="楷体" w:eastAsia="楷体" w:cs="楷体"/>
          <w:color w:val="auto"/>
          <w:sz w:val="32"/>
          <w:szCs w:val="32"/>
          <w:shd w:val="clear" w:color="auto" w:fill="auto"/>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万元，主要用于以下方面：</w:t>
      </w: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1769.53</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86.51</w:t>
      </w:r>
      <w:r>
        <w:rPr>
          <w:rFonts w:hint="eastAsia" w:ascii="仿宋_GB2312" w:hAnsi="ˎ̥" w:eastAsia="仿宋_GB2312"/>
          <w:color w:val="auto"/>
          <w:sz w:val="32"/>
          <w:szCs w:val="32"/>
          <w:shd w:val="clear" w:color="auto" w:fill="auto"/>
        </w:rPr>
        <w:t>%；</w:t>
      </w:r>
      <w:r>
        <w:rPr>
          <w:rFonts w:hint="eastAsia" w:ascii="仿宋_GB2312" w:hAnsi="ˎ̥" w:eastAsia="仿宋_GB2312"/>
          <w:b/>
          <w:color w:val="auto"/>
          <w:sz w:val="32"/>
          <w:szCs w:val="32"/>
          <w:shd w:val="clear" w:color="auto" w:fill="auto"/>
        </w:rPr>
        <w:t>社会保障和就业（类）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161.47</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7.89</w:t>
      </w:r>
      <w:r>
        <w:rPr>
          <w:rFonts w:hint="eastAsia" w:ascii="仿宋_GB2312" w:hAnsi="ˎ̥" w:eastAsia="仿宋_GB2312"/>
          <w:color w:val="auto"/>
          <w:sz w:val="32"/>
          <w:szCs w:val="32"/>
          <w:shd w:val="clear" w:color="auto" w:fill="auto"/>
        </w:rPr>
        <w:t>%；</w:t>
      </w:r>
      <w:r>
        <w:rPr>
          <w:rFonts w:hint="eastAsia" w:ascii="仿宋_GB2312" w:hAnsi="ˎ̥" w:eastAsia="仿宋_GB2312"/>
          <w:b/>
          <w:bCs/>
          <w:color w:val="auto"/>
          <w:sz w:val="32"/>
          <w:szCs w:val="32"/>
          <w:shd w:val="clear" w:color="auto" w:fill="auto"/>
        </w:rPr>
        <w:t>住房保障（类）</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39.4</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1.92</w:t>
      </w:r>
      <w:r>
        <w:rPr>
          <w:rFonts w:hint="eastAsia" w:ascii="仿宋_GB2312" w:hAnsi="ˎ̥" w:eastAsia="仿宋_GB2312"/>
          <w:color w:val="auto"/>
          <w:sz w:val="32"/>
          <w:szCs w:val="32"/>
          <w:shd w:val="clear" w:color="auto" w:fill="auto"/>
        </w:rPr>
        <w:t>%；</w:t>
      </w:r>
      <w:r>
        <w:rPr>
          <w:rFonts w:hint="eastAsia" w:ascii="仿宋_GB2312" w:hAnsi="ˎ̥" w:eastAsia="仿宋_GB2312"/>
          <w:b/>
          <w:bCs/>
          <w:color w:val="auto"/>
          <w:sz w:val="32"/>
          <w:szCs w:val="32"/>
          <w:shd w:val="clear" w:color="auto" w:fill="auto"/>
          <w:lang w:val="en-US" w:eastAsia="zh-CN"/>
        </w:rPr>
        <w:t>卫生健康支出74.9</w:t>
      </w:r>
      <w:r>
        <w:rPr>
          <w:rFonts w:hint="eastAsia" w:ascii="仿宋_GB2312" w:hAnsi="ˎ̥" w:eastAsia="仿宋_GB2312"/>
          <w:b w:val="0"/>
          <w:bCs w:val="0"/>
          <w:color w:val="auto"/>
          <w:sz w:val="32"/>
          <w:szCs w:val="32"/>
          <w:shd w:val="clear" w:color="auto" w:fill="auto"/>
          <w:lang w:val="en-US" w:eastAsia="zh-CN"/>
        </w:rPr>
        <w:t>万元，占3.66</w:t>
      </w:r>
      <w:r>
        <w:rPr>
          <w:rFonts w:hint="eastAsia" w:ascii="仿宋_GB2312" w:hAnsi="ˎ̥" w:eastAsia="仿宋_GB2312"/>
          <w:b w:val="0"/>
          <w:bCs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91" w:name="_Toc22318_WPSOffice_Level2"/>
      <w:bookmarkStart w:id="92" w:name="_Toc21701_WPSOffice_Level2"/>
      <w:bookmarkStart w:id="93" w:name="_Toc9502_WPSOffice_Level2"/>
      <w:bookmarkStart w:id="94" w:name="_Toc25136_WPSOffice_Level2"/>
      <w:bookmarkStart w:id="95" w:name="_Toc15415_WPSOffice_Level2"/>
      <w:bookmarkStart w:id="96" w:name="_Toc29364_WPSOffice_Level2"/>
      <w:r>
        <w:rPr>
          <w:rFonts w:hint="eastAsia" w:ascii="楷体" w:hAnsi="楷体" w:eastAsia="楷体" w:cs="楷体"/>
          <w:color w:val="auto"/>
          <w:sz w:val="32"/>
          <w:szCs w:val="32"/>
          <w:shd w:val="clear" w:color="auto" w:fill="auto"/>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年度一般公共预算财政拨款支出年初预算为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lang w:val="en-US"/>
        </w:rPr>
        <w:t>2045.30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%。其中：</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年初预算为1027.11</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决算支出为1027.11万元，完成年初预算的100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lang w:val="en-US" w:eastAsia="zh-CN"/>
        </w:rPr>
        <w:t>2.</w:t>
      </w:r>
      <w:r>
        <w:rPr>
          <w:rFonts w:hint="eastAsia" w:ascii="仿宋_GB2312" w:hAnsi="ˎ̥" w:eastAsia="仿宋_GB2312"/>
          <w:b/>
          <w:color w:val="auto"/>
          <w:sz w:val="32"/>
          <w:szCs w:val="32"/>
          <w:shd w:val="clear" w:color="auto" w:fill="auto"/>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年初预算为117.44</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决算支出为117.44万元，完成年初预算的100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rPr>
      </w:pPr>
      <w:r>
        <w:rPr>
          <w:rFonts w:hint="eastAsia" w:ascii="仿宋_GB2312" w:hAnsi="ˎ̥" w:eastAsia="仿宋_GB2312"/>
          <w:b/>
          <w:bCs/>
          <w:color w:val="auto"/>
          <w:sz w:val="32"/>
          <w:szCs w:val="32"/>
          <w:shd w:val="clear" w:color="auto" w:fill="auto"/>
          <w:lang w:val="en-US" w:eastAsia="zh-CN"/>
        </w:rPr>
        <w:t>3.</w:t>
      </w:r>
      <w:r>
        <w:rPr>
          <w:rFonts w:hint="eastAsia" w:ascii="仿宋_GB2312" w:hAnsi="ˎ̥" w:eastAsia="仿宋_GB2312"/>
          <w:b/>
          <w:bCs/>
          <w:color w:val="auto"/>
          <w:sz w:val="32"/>
          <w:szCs w:val="32"/>
          <w:shd w:val="clear" w:color="auto" w:fill="auto"/>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年初预算为28.66</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决算支出为28.66</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lang w:val="en-US" w:eastAsia="zh-CN"/>
        </w:rPr>
      </w:pPr>
      <w:r>
        <w:rPr>
          <w:rFonts w:hint="eastAsia" w:ascii="仿宋_GB2312" w:hAnsi="ˎ̥" w:eastAsia="仿宋_GB2312"/>
          <w:b/>
          <w:bCs/>
          <w:color w:val="auto"/>
          <w:sz w:val="32"/>
          <w:szCs w:val="32"/>
          <w:shd w:val="clear" w:color="auto" w:fill="auto"/>
          <w:lang w:val="en-US" w:eastAsia="zh-CN"/>
        </w:rPr>
        <w:t>4.卫生健康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年初预算为</w:t>
      </w:r>
      <w:r>
        <w:rPr>
          <w:rFonts w:hint="eastAsia" w:ascii="仿宋_GB2312" w:hAnsi="ˎ̥" w:eastAsia="仿宋_GB2312"/>
          <w:b/>
          <w:bCs/>
          <w:color w:val="auto"/>
          <w:sz w:val="32"/>
          <w:szCs w:val="32"/>
          <w:shd w:val="clear" w:color="auto" w:fill="auto"/>
          <w:lang w:val="en-US" w:eastAsia="zh-CN"/>
        </w:rPr>
        <w:t>54.47</w:t>
      </w:r>
      <w:r>
        <w:rPr>
          <w:rFonts w:hint="eastAsia" w:ascii="仿宋_GB2312" w:hAnsi="ˎ̥" w:eastAsia="仿宋_GB2312"/>
          <w:b w:val="0"/>
          <w:bCs w:val="0"/>
          <w:color w:val="auto"/>
          <w:sz w:val="32"/>
          <w:szCs w:val="32"/>
          <w:shd w:val="clear" w:color="auto" w:fill="auto"/>
          <w:lang w:val="en-US" w:eastAsia="zh-CN"/>
        </w:rPr>
        <w:t>万元，</w:t>
      </w:r>
      <w:r>
        <w:rPr>
          <w:rFonts w:hint="eastAsia" w:ascii="仿宋_GB2312" w:hAnsi="ˎ̥" w:eastAsia="仿宋_GB2312"/>
          <w:color w:val="auto"/>
          <w:sz w:val="32"/>
          <w:szCs w:val="32"/>
          <w:shd w:val="clear" w:color="auto" w:fill="auto"/>
          <w:lang w:val="en-US" w:eastAsia="zh-CN"/>
        </w:rPr>
        <w:t>决算支出为</w:t>
      </w:r>
      <w:r>
        <w:rPr>
          <w:rFonts w:hint="eastAsia" w:ascii="仿宋_GB2312" w:hAnsi="ˎ̥" w:eastAsia="仿宋_GB2312"/>
          <w:b/>
          <w:bCs/>
          <w:color w:val="auto"/>
          <w:sz w:val="32"/>
          <w:szCs w:val="32"/>
          <w:shd w:val="clear" w:color="auto" w:fill="auto"/>
          <w:lang w:val="en-US" w:eastAsia="zh-CN"/>
        </w:rPr>
        <w:t>54.47</w:t>
      </w:r>
      <w:r>
        <w:rPr>
          <w:rFonts w:hint="eastAsia" w:ascii="仿宋_GB2312" w:hAnsi="ˎ̥" w:eastAsia="仿宋_GB2312"/>
          <w:b w:val="0"/>
          <w:bCs w:val="0"/>
          <w:color w:val="auto"/>
          <w:sz w:val="32"/>
          <w:szCs w:val="32"/>
          <w:shd w:val="clear" w:color="auto" w:fill="auto"/>
          <w:lang w:val="en-US" w:eastAsia="zh-CN"/>
        </w:rPr>
        <w:t>万元，</w:t>
      </w:r>
      <w:r>
        <w:rPr>
          <w:rFonts w:hint="eastAsia" w:ascii="仿宋_GB2312" w:hAnsi="ˎ̥" w:eastAsia="仿宋_GB2312"/>
          <w:color w:val="auto"/>
          <w:sz w:val="32"/>
          <w:szCs w:val="32"/>
          <w:shd w:val="clear" w:color="auto" w:fill="auto"/>
          <w:lang w:val="en-US" w:eastAsia="zh-CN"/>
        </w:rPr>
        <w:t>完成年初预算的100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本部分支出决算数可取自财决公开05表，年初预算数可取自各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单位年初预算大本，根据实际支出涉及的支出功能分类项级科目填列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shd w:val="clear" w:color="auto" w:fill="auto"/>
        </w:rPr>
      </w:pPr>
      <w:r>
        <w:rPr>
          <w:rFonts w:hint="eastAsia" w:ascii="黑体" w:hAnsi="黑体" w:eastAsia="黑体" w:cs="黑体"/>
          <w:bCs/>
          <w:color w:val="auto"/>
          <w:sz w:val="32"/>
          <w:szCs w:val="32"/>
          <w:shd w:val="clear" w:color="auto" w:fill="auto"/>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年度财政拨款基本支出</w:t>
      </w:r>
      <w:r>
        <w:rPr>
          <w:rFonts w:hint="eastAsia"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万元，其中：人员经费</w:t>
      </w:r>
      <w:r>
        <w:rPr>
          <w:rFonts w:ascii="仿宋_GB2312" w:hAnsi="ˎ̥" w:eastAsia="仿宋_GB2312"/>
          <w:color w:val="auto"/>
          <w:sz w:val="32"/>
          <w:szCs w:val="32"/>
          <w:lang w:val="en-US"/>
        </w:rPr>
        <w:t>1935.12</w:t>
      </w:r>
      <w:r>
        <w:rPr>
          <w:rFonts w:hint="eastAsia" w:ascii="仿宋_GB2312" w:hAnsi="ˎ̥" w:eastAsia="仿宋_GB2312"/>
          <w:color w:val="auto"/>
          <w:sz w:val="32"/>
          <w:szCs w:val="32"/>
          <w:shd w:val="clear" w:color="auto" w:fill="auto"/>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110.18</w:t>
      </w:r>
      <w:r>
        <w:rPr>
          <w:rFonts w:hint="eastAsia" w:ascii="仿宋_GB2312" w:hAnsi="ˎ̥" w:eastAsia="仿宋_GB2312"/>
          <w:color w:val="auto"/>
          <w:sz w:val="32"/>
          <w:szCs w:val="32"/>
          <w:shd w:val="clear" w:color="auto" w:fill="auto"/>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shd w:val="clear" w:color="auto" w:fill="auto"/>
          <w:lang w:val="en-US" w:eastAsia="zh-CN"/>
        </w:rPr>
        <w:t>购</w:t>
      </w:r>
      <w:r>
        <w:rPr>
          <w:rFonts w:hint="eastAsia" w:ascii="仿宋_GB2312" w:hAnsi="ˎ̥" w:eastAsia="仿宋_GB2312"/>
          <w:color w:val="auto"/>
          <w:sz w:val="32"/>
          <w:szCs w:val="32"/>
          <w:shd w:val="clear" w:color="auto" w:fill="auto"/>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可取自财决公开06表，各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年度相比，政府性基金预算财政拨款支出增加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%。决算数大于预算数的主要原因：一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决算相关数据取自财决公开07表；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lang w:val="en-US" w:eastAsia="zh-CN"/>
        </w:rPr>
        <w:t>年度部门决算报表</w:t>
      </w:r>
      <w:r>
        <w:rPr>
          <w:rFonts w:hint="eastAsia" w:ascii="仿宋_GB2312" w:hAnsi="ˎ̥" w:eastAsia="仿宋_GB2312"/>
          <w:color w:val="auto"/>
          <w:sz w:val="32"/>
          <w:szCs w:val="32"/>
          <w:shd w:val="clear" w:color="auto" w:fill="auto"/>
        </w:rPr>
        <w:t>财决09表《政府性基金预算财政拨款收入支出决算表》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年度相比，国有资本经营预算财政拨款支出增加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color w:val="auto"/>
          <w:sz w:val="32"/>
          <w:szCs w:val="32"/>
          <w:shd w:val="clear" w:color="auto" w:fill="auto"/>
        </w:rPr>
        <w:t>1.</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%。决算数大于（小于）预算数的主要原因：</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决算相关数据取自财决公开08表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shd w:val="clear" w:color="auto" w:fill="auto"/>
        </w:rPr>
      </w:pPr>
      <w:r>
        <w:rPr>
          <w:rFonts w:hint="eastAsia" w:ascii="黑体" w:hAnsi="黑体" w:eastAsia="黑体" w:cs="黑体"/>
          <w:bCs/>
          <w:color w:val="auto"/>
          <w:sz w:val="32"/>
          <w:szCs w:val="32"/>
          <w:shd w:val="clear" w:color="auto" w:fill="auto"/>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年度财政拨款“三公”经费支出预算为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“三公”经费支出增加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shd w:val="clear" w:color="auto" w:fill="auto"/>
        </w:rPr>
      </w:pPr>
      <w:r>
        <w:rPr>
          <w:rFonts w:hint="eastAsia" w:ascii="仿宋_GB2312" w:hAnsi="ˎ̥" w:eastAsia="仿宋_GB2312"/>
          <w:b/>
          <w:color w:val="auto"/>
          <w:sz w:val="32"/>
          <w:szCs w:val="32"/>
          <w:shd w:val="clear" w:color="auto" w:fill="auto"/>
        </w:rPr>
        <w:t xml:space="preserve">  </w:t>
      </w:r>
      <w:r>
        <w:rPr>
          <w:rFonts w:hint="eastAsia" w:ascii="楷体" w:hAnsi="楷体" w:eastAsia="楷体" w:cs="楷体"/>
          <w:color w:val="auto"/>
          <w:sz w:val="32"/>
          <w:szCs w:val="32"/>
          <w:shd w:val="clear" w:color="auto" w:fill="auto"/>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年度财政拨款“三公”经费支出决算中，因公出国（境）费支出决算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%；公务用车购置及运行维护费支出决算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%；公务接待费支出决算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1.因公出国（境）费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万元。全年安排因公出国（境）团组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个，因公出国（境）</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因公出国（境）费支出决算</w:t>
      </w:r>
      <w:r>
        <w:rPr>
          <w:rFonts w:hint="eastAsia" w:ascii="仿宋_GB2312" w:hAnsi="ˎ̥" w:eastAsia="仿宋_GB2312"/>
          <w:color w:val="auto"/>
          <w:sz w:val="32"/>
          <w:szCs w:val="32"/>
          <w:shd w:val="clear" w:color="auto" w:fill="auto"/>
          <w:lang w:val="en-US" w:eastAsia="zh-CN"/>
        </w:rPr>
        <w:t>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default"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因公出国（境）费支出增加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2.公务用车购置及运行维护费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公务用车购置</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万元，全年购置公务用车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年末公务用车保有量</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公务用车运行维护费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公务用车购置及运行维护费支出决算数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公务用车购置及运行维护费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3.公务接待费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国内接待费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万元，国内公务接待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bCs/>
          <w:color w:val="auto"/>
          <w:sz w:val="32"/>
          <w:szCs w:val="32"/>
          <w:shd w:val="clear" w:color="auto" w:fill="auto"/>
        </w:rPr>
        <w:t>国（境）外接待费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万元，国（境）外公务接待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公务接待费支出决算数比预算数增加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公务接待费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w:t>
      </w:r>
      <w:r>
        <w:rPr>
          <w:rFonts w:ascii="仿宋_GB2312" w:hAnsi="ˎ̥" w:eastAsia="仿宋_GB2312"/>
          <w:color w:val="auto"/>
          <w:sz w:val="32"/>
          <w:szCs w:val="32"/>
          <w:shd w:val="clear" w:color="auto" w:fill="auto"/>
        </w:rPr>
        <w:t>数据</w:t>
      </w:r>
      <w:r>
        <w:rPr>
          <w:rFonts w:hint="eastAsia" w:ascii="仿宋_GB2312" w:hAnsi="ˎ̥" w:eastAsia="仿宋_GB2312"/>
          <w:color w:val="auto"/>
          <w:sz w:val="32"/>
          <w:szCs w:val="32"/>
          <w:shd w:val="clear" w:color="auto" w:fill="auto"/>
        </w:rPr>
        <w:t>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部门决算报表</w:t>
      </w:r>
      <w:r>
        <w:rPr>
          <w:rFonts w:hint="eastAsia" w:ascii="仿宋_GB2312" w:hAnsi="ˎ̥" w:eastAsia="仿宋_GB2312"/>
          <w:color w:val="auto"/>
          <w:sz w:val="32"/>
          <w:szCs w:val="32"/>
          <w:shd w:val="clear" w:color="auto" w:fill="auto"/>
        </w:rPr>
        <w:t>F03表《机构</w:t>
      </w:r>
      <w:r>
        <w:rPr>
          <w:rFonts w:ascii="仿宋_GB2312" w:hAnsi="ˎ̥" w:eastAsia="仿宋_GB2312"/>
          <w:color w:val="auto"/>
          <w:sz w:val="32"/>
          <w:szCs w:val="32"/>
          <w:shd w:val="clear" w:color="auto" w:fill="auto"/>
        </w:rPr>
        <w:t>运行信息表》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根据财政预算绩效管理要求，可按照如下格式说明：根据预算管理要求，我部门（单位）组织对</w:t>
      </w:r>
      <w:r>
        <w:rPr>
          <w:rFonts w:hint="default" w:ascii="仿宋_GB2312" w:eastAsia="仿宋_GB2312"/>
          <w:color w:val="auto"/>
          <w:sz w:val="32"/>
          <w:szCs w:val="32"/>
          <w:shd w:val="clear" w:color="auto" w:fill="auto"/>
          <w:lang w:val="en-US"/>
        </w:rPr>
        <w:t>2024</w:t>
      </w:r>
      <w:r>
        <w:rPr>
          <w:rFonts w:hint="eastAsia" w:ascii="仿宋_GB2312" w:eastAsia="仿宋_GB2312"/>
          <w:color w:val="auto"/>
          <w:sz w:val="32"/>
          <w:szCs w:val="32"/>
          <w:shd w:val="clear" w:color="auto" w:fill="auto"/>
        </w:rPr>
        <w:t>年度一般公共预算项目支出全面开展绩效自评</w:t>
      </w:r>
      <w:r>
        <w:rPr>
          <w:rFonts w:hint="default" w:ascii="仿宋_GB2312" w:eastAsia="仿宋_GB2312"/>
          <w:color w:val="auto"/>
          <w:sz w:val="32"/>
          <w:szCs w:val="32"/>
          <w:shd w:val="clear" w:color="auto" w:fill="auto"/>
          <w:lang w:val="en-US"/>
        </w:rPr>
        <w:t>,</w:t>
      </w:r>
      <w:r>
        <w:rPr>
          <w:rFonts w:hint="eastAsia" w:ascii="仿宋_GB2312" w:eastAsia="仿宋_GB2312"/>
          <w:color w:val="auto"/>
          <w:sz w:val="32"/>
          <w:szCs w:val="32"/>
          <w:shd w:val="clear" w:color="auto" w:fill="auto"/>
          <w:lang w:val="en-US" w:eastAsia="zh-CN"/>
        </w:rPr>
        <w:t>共涉及资金0万元，占一般公共预算项目支出总额的0%</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个政府性基金预算项目开展绩效自评，共涉及资金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万元，占政府性基金预算项目支出总额的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个国有资本经营预算项目开展绩效自评，共涉及资金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万元，占国有资本经营预算项目支出总额的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共组织对“</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”等</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个项目开展了部门评价，</w:t>
      </w:r>
      <w:r>
        <w:rPr>
          <w:rFonts w:hint="eastAsia" w:ascii="仿宋_GB2312" w:eastAsia="仿宋_GB2312"/>
          <w:color w:val="auto"/>
          <w:sz w:val="32"/>
          <w:szCs w:val="32"/>
          <w:shd w:val="clear" w:color="auto" w:fill="auto"/>
          <w:lang w:bidi="ar"/>
        </w:rPr>
        <w:t>涉及一般公共预算支出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万元，政府性基金预算支出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万元，国有资本经营预算支出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w:t>
      </w:r>
      <w:r>
        <w:rPr>
          <w:rFonts w:hint="eastAsia" w:ascii="仿宋_GB2312" w:eastAsia="仿宋_GB2312"/>
          <w:color w:val="auto"/>
          <w:sz w:val="32"/>
          <w:szCs w:val="32"/>
          <w:shd w:val="clear" w:color="auto" w:fill="auto"/>
        </w:rPr>
        <w:t>从评价情况来看，</w:t>
      </w:r>
      <w:r>
        <w:rPr>
          <w:rFonts w:hint="eastAsia" w:ascii="仿宋_GB2312" w:eastAsia="仿宋_GB2312"/>
          <w:color w:val="auto"/>
          <w:sz w:val="32"/>
          <w:szCs w:val="32"/>
          <w:shd w:val="clear" w:color="auto" w:fill="auto"/>
          <w:lang w:val="en-US" w:eastAsia="zh-CN"/>
        </w:rPr>
        <w:t>未开展此项工作，具体原因：一是</w:t>
      </w:r>
      <w:r>
        <w:rPr>
          <w:rFonts w:hint="eastAsia" w:ascii="仿宋_GB2312" w:hAnsi="ˎ̥" w:eastAsia="仿宋_GB2312"/>
          <w:color w:val="auto"/>
          <w:sz w:val="32"/>
          <w:szCs w:val="32"/>
          <w:shd w:val="clear" w:color="auto" w:fill="auto"/>
          <w:lang w:val="en-US" w:eastAsia="zh-CN"/>
        </w:rPr>
        <w:t>本单位为2024年新增单位，未开展此项工作。</w:t>
      </w:r>
      <w:r>
        <w:rPr>
          <w:rFonts w:hint="eastAsia" w:ascii="仿宋_GB2312" w:eastAsia="仿宋_GB2312"/>
          <w:color w:val="auto"/>
          <w:sz w:val="32"/>
          <w:szCs w:val="32"/>
          <w:shd w:val="clear" w:color="auto" w:fill="auto"/>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参照如下格式说明（表述应与决算内容保持一致）：我部门（单位）在部门决算中反映</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项目绩效自评表：</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可作为附件附后</w:t>
      </w:r>
      <w:r>
        <w:rPr>
          <w:rFonts w:hint="eastAsia" w:ascii="仿宋_GB2312"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eastAsia="仿宋_GB2312"/>
          <w:color w:val="auto"/>
          <w:sz w:val="32"/>
          <w:szCs w:val="32"/>
          <w:shd w:val="clear" w:color="auto" w:fill="auto"/>
        </w:rPr>
        <w:t>项目绩效自评报告：根据年初设定的绩效目标，项目绩效自评得分</w:t>
      </w:r>
      <w:r>
        <w:rPr>
          <w:rFonts w:hint="eastAsia" w:ascii="仿宋_GB2312" w:eastAsia="仿宋_GB2312"/>
          <w:color w:val="auto"/>
          <w:sz w:val="32"/>
          <w:szCs w:val="32"/>
          <w:shd w:val="clear" w:color="auto" w:fill="auto"/>
          <w:lang w:val="en-US" w:eastAsia="zh-CN"/>
        </w:rPr>
        <w:t>为0</w:t>
      </w:r>
      <w:r>
        <w:rPr>
          <w:rFonts w:hint="eastAsia" w:ascii="仿宋_GB2312" w:eastAsia="仿宋_GB2312"/>
          <w:color w:val="auto"/>
          <w:sz w:val="32"/>
          <w:szCs w:val="32"/>
          <w:shd w:val="clear" w:color="auto" w:fill="auto"/>
        </w:rPr>
        <w:t>分。全年预算数为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万元，执行数为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万元，完成预算的</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%。项目绩效目标完成情况：</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是本单位为2024年新增单位，未开展此项工作</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bidi="ar"/>
        </w:rPr>
      </w:pPr>
      <w:r>
        <w:rPr>
          <w:rFonts w:hint="eastAsia" w:ascii="仿宋_GB2312" w:hAnsi="仿宋_GB2312" w:eastAsia="仿宋_GB2312" w:cs="仿宋_GB2312"/>
          <w:color w:val="auto"/>
          <w:kern w:val="0"/>
          <w:sz w:val="32"/>
          <w:szCs w:val="32"/>
          <w:shd w:val="clear" w:color="auto" w:fill="auto"/>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97" w:name="_Toc15262_WPSOffice_Level2"/>
      <w:bookmarkStart w:id="98" w:name="_Toc5978_WPSOffice_Level2"/>
      <w:bookmarkStart w:id="99" w:name="_Toc18325_WPSOffice_Level2"/>
      <w:bookmarkStart w:id="100" w:name="_Toc15565_WPSOffice_Level2"/>
      <w:bookmarkStart w:id="101" w:name="_Toc32639_WPSOffice_Level2"/>
      <w:bookmarkStart w:id="102" w:name="_Toc23598_WPSOffice_Level2"/>
      <w:r>
        <w:rPr>
          <w:rFonts w:hint="eastAsia" w:ascii="楷体" w:hAnsi="楷体" w:eastAsia="楷体" w:cs="楷体"/>
          <w:bCs/>
          <w:color w:val="auto"/>
          <w:sz w:val="32"/>
          <w:szCs w:val="32"/>
          <w:shd w:val="clear" w:color="auto" w:fill="auto"/>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色尼区油恰乡小学</w:t>
      </w:r>
      <w:r>
        <w:rPr>
          <w:rFonts w:hint="eastAsia" w:ascii="仿宋_GB2312" w:hAnsi="ˎ̥" w:eastAsia="仿宋_GB2312"/>
          <w:color w:val="auto"/>
          <w:sz w:val="32"/>
          <w:szCs w:val="32"/>
          <w:shd w:val="clear" w:color="auto" w:fill="auto"/>
        </w:rPr>
        <w:t>部门（单位）机关运行经费</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与2023年度相比，机关运行经费</w:t>
      </w:r>
      <w:r>
        <w:rPr>
          <w:rFonts w:hint="eastAsia" w:ascii="仿宋_GB2312" w:hAnsi="ˎ̥" w:eastAsia="仿宋_GB2312"/>
          <w:color w:val="auto"/>
          <w:sz w:val="32"/>
          <w:szCs w:val="32"/>
          <w:shd w:val="clear" w:color="auto" w:fill="auto"/>
        </w:rPr>
        <w:t>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增长0%。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3" w:name="_Toc30383_WPSOffice_Level2"/>
      <w:bookmarkStart w:id="104" w:name="_Toc32689_WPSOffice_Level2"/>
      <w:bookmarkStart w:id="105" w:name="_Toc23966_WPSOffice_Level2"/>
      <w:bookmarkStart w:id="106" w:name="_Toc25333_WPSOffice_Level2"/>
      <w:bookmarkStart w:id="107" w:name="_Toc3131_WPSOffice_Level2"/>
      <w:bookmarkStart w:id="108" w:name="_Toc13084_WPSOffice_Level2"/>
      <w:r>
        <w:rPr>
          <w:rFonts w:hint="eastAsia" w:ascii="楷体" w:hAnsi="楷体" w:eastAsia="楷体" w:cs="楷体"/>
          <w:bCs/>
          <w:color w:val="auto"/>
          <w:sz w:val="32"/>
          <w:szCs w:val="32"/>
          <w:shd w:val="clear" w:color="auto" w:fill="auto"/>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色尼区油恰乡小学</w:t>
      </w:r>
      <w:r>
        <w:rPr>
          <w:rFonts w:hint="eastAsia" w:ascii="仿宋_GB2312" w:hAnsi="ˎ̥" w:eastAsia="仿宋_GB2312"/>
          <w:color w:val="auto"/>
          <w:sz w:val="32"/>
          <w:szCs w:val="32"/>
          <w:shd w:val="clear" w:color="auto" w:fill="auto"/>
        </w:rPr>
        <w:t>部门（单位）政府采购支出总额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万元，其中：政府采购货物支出</w:t>
      </w:r>
      <w:r>
        <w:rPr>
          <w:rFonts w:hint="eastAsia" w:ascii="仿宋_GB2312" w:hAnsi="ˎ̥" w:eastAsia="仿宋_GB2312"/>
          <w:color w:val="auto"/>
          <w:sz w:val="32"/>
          <w:szCs w:val="32"/>
          <w:shd w:val="clear" w:color="auto" w:fill="auto"/>
          <w:lang w:val="en-US" w:eastAsia="zh-CN"/>
        </w:rPr>
        <w:t>0</w:t>
      </w:r>
      <w:bookmarkStart w:id="121" w:name="_GoBack"/>
      <w:bookmarkEnd w:id="121"/>
      <w:r>
        <w:rPr>
          <w:rFonts w:hint="eastAsia" w:ascii="仿宋_GB2312" w:hAnsi="ˎ̥" w:eastAsia="仿宋_GB2312"/>
          <w:color w:val="auto"/>
          <w:sz w:val="32"/>
          <w:szCs w:val="32"/>
          <w:shd w:val="clear" w:color="auto" w:fill="auto"/>
        </w:rPr>
        <w:t>万元、政府采购工程支出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万元、政府采购服务支出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万元。授予中小企业合同金额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万元，占政府采购支出总额的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%，其中：授予小微企业合同金额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仿宋_GB2312" w:eastAsia="仿宋_GB2312" w:cs="仿宋_GB2312"/>
          <w:color w:val="auto"/>
          <w:kern w:val="0"/>
          <w:sz w:val="32"/>
          <w:szCs w:val="32"/>
          <w:shd w:val="clear" w:color="auto" w:fill="auto"/>
          <w:lang w:bidi="ar"/>
        </w:rPr>
        <w:t>授予中小企业合同金额</w:t>
      </w:r>
      <w:r>
        <w:rPr>
          <w:rFonts w:hint="eastAsia" w:ascii="仿宋_GB2312" w:hAnsi="仿宋_GB2312" w:eastAsia="仿宋_GB2312" w:cs="仿宋_GB2312"/>
          <w:color w:val="auto"/>
          <w:sz w:val="32"/>
          <w:szCs w:val="32"/>
          <w:shd w:val="clear" w:color="auto" w:fill="auto"/>
        </w:rPr>
        <w:t>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上述政府采购支出相关</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9" w:name="_Toc527_WPSOffice_Level2"/>
      <w:bookmarkStart w:id="110" w:name="_Toc19989_WPSOffice_Level2"/>
      <w:bookmarkStart w:id="111" w:name="_Toc6016_WPSOffice_Level2"/>
      <w:bookmarkStart w:id="112" w:name="_Toc15129_WPSOffice_Level2"/>
      <w:bookmarkStart w:id="113" w:name="_Toc10902_WPSOffice_Level2"/>
      <w:bookmarkStart w:id="114" w:name="_Toc29584_WPSOffice_Level2"/>
      <w:r>
        <w:rPr>
          <w:rFonts w:hint="eastAsia" w:ascii="楷体" w:hAnsi="楷体" w:eastAsia="楷体" w:cs="楷体"/>
          <w:bCs/>
          <w:color w:val="auto"/>
          <w:sz w:val="32"/>
          <w:szCs w:val="32"/>
          <w:shd w:val="clear" w:color="auto" w:fill="auto"/>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截至</w:t>
      </w:r>
      <w:r>
        <w:rPr>
          <w:rFonts w:hint="default" w:ascii="仿宋_GB2312" w:hAnsi="ˎ̥" w:eastAsia="仿宋_GB2312"/>
          <w:bCs/>
          <w:color w:val="auto"/>
          <w:sz w:val="32"/>
          <w:szCs w:val="32"/>
          <w:shd w:val="clear" w:color="auto" w:fill="auto"/>
          <w:lang w:val="en-US"/>
        </w:rPr>
        <w:t>2024</w:t>
      </w:r>
      <w:r>
        <w:rPr>
          <w:rFonts w:hint="eastAsia" w:ascii="仿宋_GB2312" w:hAnsi="ˎ̥" w:eastAsia="仿宋_GB2312"/>
          <w:bCs/>
          <w:color w:val="auto"/>
          <w:sz w:val="32"/>
          <w:szCs w:val="32"/>
          <w:shd w:val="clear" w:color="auto" w:fill="auto"/>
        </w:rPr>
        <w:t>年12月31日，本部门拥有</w:t>
      </w:r>
      <w:r>
        <w:rPr>
          <w:rFonts w:hint="eastAsia" w:ascii="仿宋_GB2312" w:hAnsi="ˎ̥" w:eastAsia="仿宋_GB2312"/>
          <w:color w:val="auto"/>
          <w:sz w:val="32"/>
          <w:szCs w:val="32"/>
          <w:shd w:val="clear" w:color="auto" w:fill="auto"/>
        </w:rPr>
        <w:t>房屋面积</w:t>
      </w:r>
      <w:r>
        <w:rPr>
          <w:rFonts w:hint="eastAsia" w:ascii="仿宋_GB2312" w:hAnsi="ˎ̥" w:eastAsia="仿宋_GB2312"/>
          <w:color w:val="auto"/>
          <w:sz w:val="32"/>
          <w:szCs w:val="32"/>
          <w:shd w:val="clear" w:color="auto" w:fill="auto"/>
          <w:lang w:val="en-US" w:eastAsia="zh-CN"/>
        </w:rPr>
        <w:t>4140</w:t>
      </w:r>
      <w:r>
        <w:rPr>
          <w:rFonts w:hint="eastAsia" w:ascii="仿宋_GB2312" w:hAnsi="ˎ̥" w:eastAsia="仿宋_GB2312"/>
          <w:color w:val="auto"/>
          <w:sz w:val="32"/>
          <w:szCs w:val="32"/>
          <w:shd w:val="clear" w:color="auto" w:fill="auto"/>
        </w:rPr>
        <w:t>平方米</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本部门共有车辆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辆，其中，副部（省）级及以上领导用车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辆、主要负责人用车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辆、机要通信用车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辆、应急保障用车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辆、执法执勤用车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辆、特种专业技术用车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辆、离退休干部服务用车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辆、其他用车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单价100万元（含）以上设备（不含车辆）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上述国有资产占用情况相关数</w:t>
      </w:r>
      <w:r>
        <w:rPr>
          <w:rFonts w:hint="eastAsia" w:ascii="仿宋_GB2312" w:hAnsi="ˎ̥" w:eastAsia="仿宋_GB2312"/>
          <w:color w:val="auto"/>
          <w:sz w:val="32"/>
          <w:szCs w:val="32"/>
          <w:shd w:val="clear" w:color="auto" w:fill="auto"/>
          <w:lang w:val="en-US" w:eastAsia="zh-CN"/>
        </w:rPr>
        <w:t>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年度部门决算F0</w:t>
      </w:r>
      <w:r>
        <w:rPr>
          <w:rFonts w:hint="default" w:ascii="仿宋_GB2312" w:hAnsi="ˎ̥" w:eastAsia="仿宋_GB2312"/>
          <w:color w:val="auto"/>
          <w:sz w:val="32"/>
          <w:szCs w:val="32"/>
          <w:shd w:val="clear" w:color="auto" w:fill="auto"/>
          <w:lang w:val="en-US"/>
        </w:rPr>
        <w:t>2</w:t>
      </w:r>
      <w:r>
        <w:rPr>
          <w:rFonts w:hint="eastAsia" w:ascii="仿宋_GB2312" w:hAnsi="ˎ̥" w:eastAsia="仿宋_GB2312"/>
          <w:color w:val="auto"/>
          <w:sz w:val="32"/>
          <w:szCs w:val="32"/>
          <w:shd w:val="clear" w:color="auto" w:fill="auto"/>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bookmarkStart w:id="115" w:name="_Toc4398_WPSOffice_Level1"/>
      <w:bookmarkStart w:id="116" w:name="_Toc11039_WPSOffice_Level1"/>
      <w:bookmarkStart w:id="117" w:name="_Toc8874_WPSOffice_Level1"/>
      <w:bookmarkStart w:id="118" w:name="_Toc8808_WPSOffice_Level1"/>
      <w:bookmarkStart w:id="119" w:name="_Toc15425_WPSOffice_Level1"/>
      <w:bookmarkStart w:id="120"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十六、</w:t>
      </w:r>
      <w:r>
        <w:rPr>
          <w:rFonts w:ascii="仿宋_GB2312" w:hAnsi="ˎ̥" w:eastAsia="仿宋_GB2312"/>
          <w:color w:val="auto"/>
          <w:sz w:val="32"/>
          <w:szCs w:val="32"/>
          <w:shd w:val="clear" w:color="auto" w:fill="auto"/>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支出功能分类的名词解释，各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单位根据实际支出情况填列，可参阅财政部印发的《</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年政府收支分类科目》</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abstractNum w:abstractNumId="2">
    <w:nsid w:val="75A8FCC9"/>
    <w:multiLevelType w:val="singleLevel"/>
    <w:tmpl w:val="75A8FCC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F47F89"/>
    <w:rsid w:val="0483550D"/>
    <w:rsid w:val="09201287"/>
    <w:rsid w:val="0DE2742F"/>
    <w:rsid w:val="0FC80124"/>
    <w:rsid w:val="136F98C7"/>
    <w:rsid w:val="17427E68"/>
    <w:rsid w:val="1755065F"/>
    <w:rsid w:val="1AFC29C9"/>
    <w:rsid w:val="1CA52F2E"/>
    <w:rsid w:val="1DFE370B"/>
    <w:rsid w:val="1E3630B9"/>
    <w:rsid w:val="1EC470E5"/>
    <w:rsid w:val="24B8193D"/>
    <w:rsid w:val="267E5495"/>
    <w:rsid w:val="26EEC2B5"/>
    <w:rsid w:val="29472309"/>
    <w:rsid w:val="2B406E77"/>
    <w:rsid w:val="2C2A0C43"/>
    <w:rsid w:val="2D1E73A5"/>
    <w:rsid w:val="32717154"/>
    <w:rsid w:val="34B63260"/>
    <w:rsid w:val="358416AA"/>
    <w:rsid w:val="37FDA7E2"/>
    <w:rsid w:val="3A314D88"/>
    <w:rsid w:val="3A746883"/>
    <w:rsid w:val="3CA15DE9"/>
    <w:rsid w:val="3DF33C93"/>
    <w:rsid w:val="3FE61EE5"/>
    <w:rsid w:val="406508EE"/>
    <w:rsid w:val="408D6263"/>
    <w:rsid w:val="41B40CEE"/>
    <w:rsid w:val="46E2638C"/>
    <w:rsid w:val="48317291"/>
    <w:rsid w:val="485F7024"/>
    <w:rsid w:val="48E70666"/>
    <w:rsid w:val="4C486BB6"/>
    <w:rsid w:val="4C6877E5"/>
    <w:rsid w:val="4D6A468D"/>
    <w:rsid w:val="4D9751F7"/>
    <w:rsid w:val="4EA86137"/>
    <w:rsid w:val="4EFE29BD"/>
    <w:rsid w:val="54AA3DF7"/>
    <w:rsid w:val="56CA7FD0"/>
    <w:rsid w:val="57FA38D1"/>
    <w:rsid w:val="5F7D3333"/>
    <w:rsid w:val="61385890"/>
    <w:rsid w:val="67AE6786"/>
    <w:rsid w:val="687436E1"/>
    <w:rsid w:val="69C80FBA"/>
    <w:rsid w:val="6C361582"/>
    <w:rsid w:val="6DA45C50"/>
    <w:rsid w:val="6E9A7825"/>
    <w:rsid w:val="6F670F9B"/>
    <w:rsid w:val="718679A7"/>
    <w:rsid w:val="737450E0"/>
    <w:rsid w:val="73C760C7"/>
    <w:rsid w:val="73F141CE"/>
    <w:rsid w:val="74054476"/>
    <w:rsid w:val="742F38C4"/>
    <w:rsid w:val="74AB66DC"/>
    <w:rsid w:val="74C4154C"/>
    <w:rsid w:val="75956FFF"/>
    <w:rsid w:val="76C30EE4"/>
    <w:rsid w:val="77AA2D01"/>
    <w:rsid w:val="7B162F04"/>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0</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2025-10-13T02:26:14Z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