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西藏那曲市色尼区达萨乡第二小学2024年度部门决算公开报告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22941_WPSOffice_Level1"/>
      <w:bookmarkStart w:id="3" w:name="_Toc10720_WPSOffice_Level1"/>
      <w:bookmarkStart w:id="4" w:name="_Toc1704_WPSOffice_Level1"/>
      <w:bookmarkStart w:id="5" w:name="_Toc23465_WPSOffice_Level1"/>
      <w:bookmarkStart w:id="6" w:name="_Toc10049_WPSOffice_Level1"/>
      <w:bookmarkStart w:id="7" w:name="_Toc32433_WPSOffice_Level1"/>
      <w:bookmarkStart w:id="8" w:name="_Toc14159_WPSOffice_Level2"/>
      <w:bookmarkStart w:id="9" w:name="_Toc20205_WPSOffice_Level2"/>
      <w:bookmarkStart w:id="10" w:name="_Toc32622_WPSOffice_Level2"/>
      <w:bookmarkStart w:id="11" w:name="_Toc26580_WPSOffice_Level2"/>
      <w:bookmarkStart w:id="12" w:name="_Toc20274_WPSOffice_Level2"/>
      <w:bookmarkStart w:id="13" w:name="_Toc24238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rPr>
          <w:rFonts w:hint="eastAsia" w:ascii="仿宋" w:hAnsi="仿宋" w:eastAsia="仿宋" w:cs="仿宋"/>
          <w:sz w:val="32"/>
          <w:szCs w:val="32"/>
        </w:rPr>
      </w:pPr>
      <w:bookmarkStart w:id="14" w:name="_Toc24059_WPSOffice_Level2"/>
      <w:bookmarkStart w:id="15" w:name="_Toc17796_WPSOffice_Level2"/>
      <w:bookmarkStart w:id="16" w:name="_Toc6572_WPSOffice_Level2"/>
      <w:bookmarkStart w:id="17" w:name="_Toc4833_WPSOffice_Level2"/>
      <w:bookmarkStart w:id="18" w:name="_Toc24474_WPSOffice_Level2"/>
      <w:r>
        <w:rPr>
          <w:rFonts w:hint="eastAsia" w:ascii="仿宋" w:hAnsi="仿宋" w:eastAsia="仿宋" w:cs="仿宋"/>
          <w:sz w:val="32"/>
          <w:szCs w:val="32"/>
        </w:rPr>
        <w:t xml:space="preserve">教务处：核心负责课程安排、教学计划制定、考试组织、成绩管理，是保障教学秩序的核心部门。 </w:t>
      </w:r>
    </w:p>
    <w:p>
      <w:pPr>
        <w:rPr>
          <w:rFonts w:hint="eastAsia" w:ascii="仿宋" w:hAnsi="仿宋" w:eastAsia="仿宋" w:cs="仿宋"/>
          <w:sz w:val="32"/>
          <w:szCs w:val="32"/>
        </w:rPr>
      </w:pPr>
      <w:r>
        <w:rPr>
          <w:rFonts w:hint="eastAsia" w:ascii="仿宋" w:hAnsi="仿宋" w:eastAsia="仿宋" w:cs="仿宋"/>
          <w:sz w:val="32"/>
          <w:szCs w:val="32"/>
        </w:rPr>
        <w:t>学生处（学工部）：聚焦学生日常管理，包括奖助学金评定、评优评先、学生活动统筹、违纪处理等。</w:t>
      </w:r>
    </w:p>
    <w:p>
      <w:pPr>
        <w:rPr>
          <w:rFonts w:hint="eastAsia" w:ascii="仿宋" w:hAnsi="仿宋" w:eastAsia="仿宋" w:cs="仿宋"/>
          <w:sz w:val="32"/>
          <w:szCs w:val="32"/>
        </w:rPr>
      </w:pPr>
      <w:r>
        <w:rPr>
          <w:rFonts w:hint="eastAsia" w:ascii="仿宋" w:hAnsi="仿宋" w:eastAsia="仿宋" w:cs="仿宋"/>
          <w:sz w:val="32"/>
          <w:szCs w:val="32"/>
        </w:rPr>
        <w:t xml:space="preserve">总务处（后勤处）：负责校园“后勤保障”，如食堂运营、宿舍管理、校园维修、绿化保洁。 </w:t>
      </w:r>
    </w:p>
    <w:p>
      <w:pPr>
        <w:rPr>
          <w:rFonts w:hint="eastAsia" w:ascii="仿宋" w:hAnsi="仿宋" w:eastAsia="仿宋" w:cs="仿宋"/>
          <w:sz w:val="32"/>
          <w:szCs w:val="32"/>
        </w:rPr>
      </w:pPr>
      <w:r>
        <w:rPr>
          <w:rFonts w:hint="eastAsia" w:ascii="仿宋" w:hAnsi="仿宋" w:eastAsia="仿宋" w:cs="仿宋"/>
          <w:sz w:val="32"/>
          <w:szCs w:val="32"/>
        </w:rPr>
        <w:t>财务处：处理全校资金相关事务</w:t>
      </w:r>
      <w:r>
        <w:rPr>
          <w:rFonts w:hint="eastAsia" w:ascii="仿宋" w:hAnsi="仿宋" w:eastAsia="仿宋" w:cs="仿宋"/>
          <w:sz w:val="32"/>
          <w:szCs w:val="32"/>
          <w:lang w:eastAsia="zh-CN"/>
        </w:rPr>
        <w:t>、</w:t>
      </w:r>
      <w:r>
        <w:rPr>
          <w:rFonts w:hint="eastAsia" w:ascii="仿宋" w:hAnsi="仿宋" w:eastAsia="仿宋" w:cs="仿宋"/>
          <w:sz w:val="32"/>
          <w:szCs w:val="32"/>
        </w:rPr>
        <w:t>费用报销</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少工委：主导学生思想引领与校园文化建设，负责社团管理、大型校园活动（如晚会、竞赛）组织、志愿者服务统筹。</w:t>
      </w:r>
    </w:p>
    <w:p>
      <w:pPr>
        <w:rPr>
          <w:rFonts w:hint="eastAsia" w:ascii="仿宋" w:hAnsi="仿宋" w:eastAsia="仿宋" w:cs="仿宋"/>
          <w:sz w:val="32"/>
          <w:szCs w:val="32"/>
          <w:lang w:eastAsia="zh-CN"/>
        </w:rPr>
      </w:pPr>
      <w:r>
        <w:rPr>
          <w:rFonts w:hint="eastAsia" w:ascii="仿宋" w:hAnsi="仿宋" w:eastAsia="仿宋" w:cs="仿宋"/>
          <w:sz w:val="32"/>
          <w:szCs w:val="32"/>
        </w:rPr>
        <w:t>藏文教研组、语文教研组、数学教研组、综合教研组四组管理</w:t>
      </w:r>
      <w:r>
        <w:rPr>
          <w:rFonts w:hint="eastAsia" w:ascii="仿宋" w:hAnsi="仿宋" w:eastAsia="仿宋" w:cs="仿宋"/>
          <w:sz w:val="32"/>
          <w:szCs w:val="32"/>
          <w:lang w:val="en-US" w:eastAsia="zh-CN"/>
        </w:rPr>
        <w:t>教师的教研活动等任务</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党建办：统筹、协调、落实学校党的建设各项工作。</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办公室：负责校长办公会、全校性会议的组织筹备、起草学校工作计划、总结、通知、传达上级部门的政策文件与指令。</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 w:hAnsi="仿宋" w:eastAsia="仿宋_GB2312" w:cs="仿宋"/>
          <w:color w:val="auto"/>
          <w:sz w:val="32"/>
          <w:szCs w:val="32"/>
          <w:shd w:val="clear" w:color="auto" w:fill="auto"/>
          <w:lang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色尼区达萨乡第二小学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p>
    <w:p>
      <w:pPr>
        <w:numPr>
          <w:ilvl w:val="0"/>
          <w:numId w:val="2"/>
        </w:numPr>
        <w:spacing w:line="578" w:lineRule="exact"/>
        <w:ind w:firstLine="640" w:firstLineChars="200"/>
        <w:rPr>
          <w:rFonts w:hint="eastAsia" w:ascii="仿宋" w:hAnsi="仿宋" w:eastAsia="仿宋" w:cs="仿宋"/>
          <w:color w:val="auto"/>
          <w:sz w:val="32"/>
          <w:szCs w:val="32"/>
        </w:rPr>
      </w:pPr>
      <w:bookmarkStart w:id="19" w:name="_Toc25738_WPSOffice_Level2"/>
      <w:bookmarkStart w:id="20" w:name="_Toc24421_WPSOffice_Level2"/>
      <w:r>
        <w:rPr>
          <w:rFonts w:hint="eastAsia" w:ascii="仿宋" w:hAnsi="仿宋" w:eastAsia="仿宋" w:cs="仿宋"/>
          <w:color w:val="auto"/>
          <w:sz w:val="32"/>
          <w:szCs w:val="32"/>
          <w:lang w:val="en-US" w:eastAsia="zh-CN"/>
        </w:rPr>
        <w:t>色尼区达萨乡第二小学</w:t>
      </w:r>
      <w:r>
        <w:rPr>
          <w:rFonts w:hint="eastAsia" w:ascii="仿宋" w:hAnsi="仿宋" w:eastAsia="仿宋" w:cs="仿宋"/>
          <w:color w:val="auto"/>
          <w:sz w:val="32"/>
          <w:szCs w:val="32"/>
        </w:rPr>
        <w:t>部门本级</w:t>
      </w:r>
      <w:bookmarkEnd w:id="19"/>
      <w:bookmarkEnd w:id="20"/>
      <w:r>
        <w:rPr>
          <w:rFonts w:hint="eastAsia" w:ascii="仿宋" w:hAnsi="仿宋" w:eastAsia="仿宋" w:cs="仿宋"/>
          <w:color w:val="auto"/>
          <w:sz w:val="32"/>
          <w:szCs w:val="32"/>
        </w:rPr>
        <w:t xml:space="preserve"> </w:t>
      </w:r>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color w:val="auto"/>
          <w:sz w:val="32"/>
          <w:szCs w:val="32"/>
        </w:rPr>
        <w:t>组织机构代码：</w:t>
      </w:r>
      <w:r>
        <w:rPr>
          <w:rFonts w:hint="eastAsia" w:ascii="仿宋" w:hAnsi="仿宋" w:eastAsia="仿宋" w:cs="仿宋"/>
          <w:color w:val="auto"/>
          <w:sz w:val="32"/>
          <w:szCs w:val="32"/>
          <w:lang w:val="en-US" w:eastAsia="zh-CN"/>
        </w:rPr>
        <w:t>12542421MB07990949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单位代码：</w:t>
      </w:r>
      <w:r>
        <w:rPr>
          <w:rFonts w:hint="eastAsia" w:ascii="仿宋" w:hAnsi="仿宋" w:eastAsia="仿宋" w:cs="仿宋"/>
          <w:color w:val="auto"/>
          <w:sz w:val="32"/>
          <w:szCs w:val="32"/>
          <w:lang w:val="en-US" w:eastAsia="zh-CN"/>
        </w:rPr>
        <w:t>014017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单位预算级次：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单位类型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事业单位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预算级次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县区级</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shd w:val="clear" w:color="auto" w:fill="auto"/>
        </w:rPr>
        <w:t xml:space="preserve">  </w:t>
      </w:r>
      <w:r>
        <w:rPr>
          <w:rFonts w:hint="eastAsia" w:ascii="方正楷体_GBK" w:hAnsi="方正楷体_GBK" w:eastAsia="方正楷体_GBK" w:cs="方正楷体_GBK"/>
          <w:color w:val="auto"/>
          <w:sz w:val="32"/>
          <w:szCs w:val="32"/>
          <w:shd w:val="clear" w:color="auto" w:fill="auto"/>
        </w:rPr>
        <w:t xml:space="preserve">         </w:t>
      </w:r>
    </w:p>
    <w:p>
      <w:pPr>
        <w:spacing w:line="578" w:lineRule="exact"/>
        <w:jc w:val="center"/>
        <w:rPr>
          <w:rFonts w:hint="eastAsia" w:ascii="黑体" w:hAnsi="ˎ̥" w:eastAsia="黑体"/>
          <w:color w:val="auto"/>
          <w:sz w:val="32"/>
          <w:szCs w:val="32"/>
          <w:shd w:val="clear" w:color="auto" w:fill="auto"/>
        </w:rPr>
      </w:pPr>
      <w:bookmarkStart w:id="21" w:name="_Toc15521_WPSOffice_Level1"/>
      <w:bookmarkStart w:id="22" w:name="_Toc28253_WPSOffice_Level1"/>
      <w:bookmarkStart w:id="23" w:name="_Toc30451_WPSOffice_Level1"/>
      <w:bookmarkStart w:id="24" w:name="_Toc6234_WPSOffice_Level1"/>
      <w:bookmarkStart w:id="25" w:name="_Toc30690_WPSOffice_Level1"/>
      <w:bookmarkStart w:id="26" w:name="_Toc8164_WPSOffice_Level1"/>
      <w:bookmarkStart w:id="27" w:name="_Toc6211_WPSOffice_Level2"/>
      <w:bookmarkStart w:id="28" w:name="_Toc4029_WPSOffice_Level2"/>
      <w:bookmarkStart w:id="29" w:name="_Toc32472_WPSOffice_Level2"/>
      <w:bookmarkStart w:id="30" w:name="_Toc8867_WPSOffice_Level2"/>
      <w:bookmarkStart w:id="31" w:name="_Toc32695_WPSOffice_Level2"/>
      <w:bookmarkStart w:id="32" w:name="_Toc11518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shd w:val="clear" w:color="auto" w:fill="auto"/>
        </w:rPr>
      </w:pPr>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8622_WPSOffice_Level2"/>
      <w:bookmarkStart w:id="34" w:name="_Toc26621_WPSOffice_Level2"/>
      <w:bookmarkStart w:id="35" w:name="_Toc30334_WPSOffice_Level2"/>
      <w:bookmarkStart w:id="36" w:name="_Toc14349_WPSOffice_Level2"/>
      <w:bookmarkStart w:id="37" w:name="_Toc25608_WPSOffice_Level2"/>
      <w:bookmarkStart w:id="38" w:name="_Toc2313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17858_WPSOffice_Level2"/>
      <w:bookmarkStart w:id="40" w:name="_Toc17626_WPSOffice_Level2"/>
      <w:bookmarkStart w:id="41" w:name="_Toc3262_WPSOffice_Level2"/>
      <w:bookmarkStart w:id="42" w:name="_Toc5489_WPSOffice_Level2"/>
      <w:bookmarkStart w:id="43" w:name="_Toc14658_WPSOffice_Level2"/>
      <w:bookmarkStart w:id="44" w:name="_Toc13854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23591_WPSOffice_Level2"/>
      <w:bookmarkStart w:id="46" w:name="_Toc21415_WPSOffice_Level2"/>
      <w:bookmarkStart w:id="47" w:name="_Toc7988_WPSOffice_Level2"/>
      <w:bookmarkStart w:id="48" w:name="_Toc23493_WPSOffice_Level2"/>
      <w:bookmarkStart w:id="49" w:name="_Toc4265_WPSOffice_Level2"/>
      <w:bookmarkStart w:id="50" w:name="_Toc13701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17283_WPSOffice_Level2"/>
      <w:bookmarkStart w:id="58" w:name="_Toc8373_WPSOffice_Level2"/>
      <w:bookmarkStart w:id="59" w:name="_Toc2632_WPSOffice_Level2"/>
      <w:bookmarkStart w:id="60" w:name="_Toc17833_WPSOffice_Level2"/>
      <w:bookmarkStart w:id="61" w:name="_Toc5343_WPSOffice_Level2"/>
      <w:bookmarkStart w:id="62" w:name="_Toc25362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5594_WPSOffice_Level2"/>
      <w:bookmarkStart w:id="64" w:name="_Toc6020_WPSOffice_Level2"/>
      <w:bookmarkStart w:id="65" w:name="_Toc13345_WPSOffice_Level2"/>
      <w:bookmarkStart w:id="66" w:name="_Toc21310_WPSOffice_Level2"/>
      <w:bookmarkStart w:id="67" w:name="_Toc11799_WPSOffice_Level2"/>
      <w:bookmarkStart w:id="68" w:name="_Toc1533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19961_WPSOffice_Level2"/>
      <w:bookmarkStart w:id="70" w:name="_Toc29886_WPSOffice_Level2"/>
      <w:bookmarkStart w:id="71" w:name="_Toc9377_WPSOffice_Level2"/>
      <w:bookmarkStart w:id="72" w:name="_Toc1820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27590_WPSOffice_Level1"/>
      <w:bookmarkStart w:id="74" w:name="_Toc29683_WPSOffice_Level1"/>
      <w:bookmarkStart w:id="75" w:name="_Toc31264_WPSOffice_Level1"/>
      <w:bookmarkStart w:id="76" w:name="_Toc4402_WPSOffice_Level1"/>
      <w:bookmarkStart w:id="77" w:name="_Toc28629_WPSOffice_Level1"/>
      <w:bookmarkStart w:id="78" w:name="_Toc16686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17398_WPSOffice_Level2"/>
      <w:bookmarkStart w:id="80" w:name="_Toc13694_WPSOffice_Level2"/>
      <w:bookmarkStart w:id="81" w:name="_Toc21737_WPSOffice_Level2"/>
      <w:bookmarkStart w:id="82" w:name="_Toc23005_WPSOffice_Level2"/>
      <w:bookmarkStart w:id="83" w:name="_Toc9989_WPSOffice_Level2"/>
      <w:bookmarkStart w:id="84" w:name="_Toc19665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19535_WPSOffice_Level2"/>
      <w:bookmarkStart w:id="86" w:name="_Toc23864_WPSOffice_Level2"/>
      <w:bookmarkStart w:id="87" w:name="_Toc27767_WPSOffice_Level2"/>
      <w:bookmarkStart w:id="88" w:name="_Toc2711_WPSOffice_Level2"/>
      <w:bookmarkStart w:id="89" w:name="_Toc19075_WPSOffice_Level2"/>
      <w:bookmarkStart w:id="90" w:name="_Toc18793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rPr>
        <w:t>一般公共</w:t>
      </w:r>
      <w:r>
        <w:rPr>
          <w:rFonts w:hint="eastAsia" w:ascii="仿宋_GB2312" w:hAnsi="ˎ̥" w:eastAsia="仿宋_GB2312"/>
          <w:b/>
          <w:color w:val="auto"/>
          <w:sz w:val="32"/>
          <w:szCs w:val="32"/>
          <w:lang w:val="en-US" w:eastAsia="zh-CN"/>
        </w:rPr>
        <w:t>教育</w:t>
      </w:r>
      <w:r>
        <w:rPr>
          <w:rFonts w:hint="eastAsia" w:ascii="仿宋_GB2312" w:hAnsi="ˎ̥" w:eastAsia="仿宋_GB2312"/>
          <w:b/>
          <w:color w:val="auto"/>
          <w:sz w:val="32"/>
          <w:szCs w:val="32"/>
        </w:rPr>
        <w:t>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881.57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80.7</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122.73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11.2</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29.96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卫生健康支出</w:t>
      </w:r>
      <w:r>
        <w:rPr>
          <w:rFonts w:hint="eastAsia" w:ascii="仿宋_GB2312" w:hAnsi="ˎ̥" w:eastAsia="仿宋_GB2312"/>
          <w:b w:val="0"/>
          <w:bCs w:val="0"/>
          <w:color w:val="auto"/>
          <w:sz w:val="32"/>
          <w:szCs w:val="32"/>
          <w:lang w:val="en-US" w:eastAsia="zh-CN"/>
        </w:rPr>
        <w:t>56.94万元，占5.2</w:t>
      </w:r>
      <w:r>
        <w:rPr>
          <w:rFonts w:hint="eastAsia" w:ascii="仿宋_GB2312" w:hAnsi="ˎ̥"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2318_WPSOffice_Level2"/>
      <w:bookmarkStart w:id="92" w:name="_Toc9502_WPSOffice_Level2"/>
      <w:bookmarkStart w:id="93" w:name="_Toc25136_WPSOffice_Level2"/>
      <w:bookmarkStart w:id="94" w:name="_Toc29364_WPSOffice_Level2"/>
      <w:bookmarkStart w:id="95" w:name="_Toc21701_WPSOffice_Level2"/>
      <w:bookmarkStart w:id="96" w:name="_Toc15415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auto"/>
          <w:sz w:val="32"/>
          <w:szCs w:val="32"/>
          <w:lang w:val="en-US"/>
        </w:rPr>
        <w:t>272.86</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lang w:val="en-US"/>
        </w:rPr>
        <w:t>1091.20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年初预算为881.57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决算支出为881.57万元，完成年初预算的100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年初预算为122.73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决算支出为122.73万元，完成年初预算的100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年初预算为29.96</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决算支出为29.96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lang w:val="en-US" w:eastAsia="zh-CN"/>
        </w:rPr>
        <w:t>年初预算为</w:t>
      </w:r>
      <w:r>
        <w:rPr>
          <w:rFonts w:hint="eastAsia" w:ascii="仿宋_GB2312" w:hAnsi="ˎ̥" w:eastAsia="仿宋_GB2312"/>
          <w:b w:val="0"/>
          <w:bCs w:val="0"/>
          <w:color w:val="auto"/>
          <w:sz w:val="32"/>
          <w:szCs w:val="32"/>
          <w:lang w:val="en-US" w:eastAsia="zh-CN"/>
        </w:rPr>
        <w:t>56.94万元，</w:t>
      </w:r>
      <w:r>
        <w:rPr>
          <w:rFonts w:hint="eastAsia" w:ascii="仿宋_GB2312" w:hAnsi="ˎ̥" w:eastAsia="仿宋_GB2312"/>
          <w:color w:val="auto"/>
          <w:sz w:val="32"/>
          <w:szCs w:val="32"/>
          <w:lang w:val="en-US" w:eastAsia="zh-CN"/>
        </w:rPr>
        <w:t>决算支出为</w:t>
      </w:r>
      <w:r>
        <w:rPr>
          <w:rFonts w:hint="eastAsia" w:ascii="仿宋_GB2312" w:hAnsi="ˎ̥" w:eastAsia="仿宋_GB2312"/>
          <w:b w:val="0"/>
          <w:bCs w:val="0"/>
          <w:color w:val="auto"/>
          <w:sz w:val="32"/>
          <w:szCs w:val="32"/>
          <w:lang w:val="en-US" w:eastAsia="zh-CN"/>
        </w:rPr>
        <w:t>56.94万元，</w:t>
      </w:r>
      <w:r>
        <w:rPr>
          <w:rFonts w:hint="eastAsia" w:ascii="仿宋_GB2312" w:hAnsi="ˎ̥" w:eastAsia="仿宋_GB2312"/>
          <w:color w:val="auto"/>
          <w:sz w:val="32"/>
          <w:szCs w:val="32"/>
          <w:lang w:val="en-US" w:eastAsia="zh-CN"/>
        </w:rPr>
        <w:t>完成年初预算的100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万元，其中：人员经费万</w:t>
      </w:r>
      <w:r>
        <w:rPr>
          <w:rFonts w:ascii="仿宋_GB2312" w:hAnsi="ˎ̥" w:eastAsia="仿宋_GB2312"/>
          <w:color w:val="auto"/>
          <w:sz w:val="32"/>
          <w:szCs w:val="32"/>
          <w:lang w:val="en-US"/>
        </w:rPr>
        <w:t>1,063.11</w:t>
      </w:r>
      <w:r>
        <w:rPr>
          <w:rFonts w:hint="eastAsia" w:ascii="仿宋_GB2312" w:hAnsi="ˎ̥" w:eastAsia="仿宋_GB2312"/>
          <w:color w:val="auto"/>
          <w:sz w:val="32"/>
          <w:szCs w:val="32"/>
          <w:shd w:val="clear" w:color="auto" w:fill="auto"/>
        </w:rPr>
        <w:t>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28.09</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本部门为2024年新增单位，未开展此项工作。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未开展此项工作。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15565_WPSOffice_Level2"/>
      <w:bookmarkStart w:id="98" w:name="_Toc32639_WPSOffice_Level2"/>
      <w:bookmarkStart w:id="99" w:name="_Toc5978_WPSOffice_Level2"/>
      <w:bookmarkStart w:id="100" w:name="_Toc15262_WPSOffice_Level2"/>
      <w:bookmarkStart w:id="101" w:name="_Toc18325_WPSOffice_Level2"/>
      <w:bookmarkStart w:id="102" w:name="_Toc23598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w:t>
      </w:r>
      <w:r>
        <w:rPr>
          <w:rFonts w:hint="eastAsia" w:ascii="仿宋_GB2312" w:hAnsi="ˎ̥" w:eastAsia="仿宋_GB2312"/>
          <w:color w:val="auto"/>
          <w:sz w:val="32"/>
          <w:szCs w:val="32"/>
          <w:lang w:val="en-US" w:eastAsia="zh-CN"/>
        </w:rPr>
        <w:t>达萨乡第二小学</w:t>
      </w:r>
      <w:r>
        <w:rPr>
          <w:rFonts w:hint="eastAsia" w:ascii="仿宋_GB2312" w:hAnsi="ˎ̥" w:eastAsia="仿宋_GB2312"/>
          <w:color w:val="auto"/>
          <w:sz w:val="32"/>
          <w:szCs w:val="32"/>
        </w:rPr>
        <w:t>部门</w:t>
      </w:r>
      <w:r>
        <w:rPr>
          <w:rFonts w:hint="eastAsia" w:ascii="仿宋_GB2312" w:hAnsi="ˎ̥" w:eastAsia="仿宋_GB2312"/>
          <w:color w:val="auto"/>
          <w:sz w:val="32"/>
          <w:szCs w:val="32"/>
          <w:shd w:val="clear" w:color="auto" w:fill="auto"/>
        </w:rPr>
        <w:t>（单位）机关运行经费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3131_WPSOffice_Level2"/>
      <w:bookmarkStart w:id="104" w:name="_Toc25333_WPSOffice_Level2"/>
      <w:bookmarkStart w:id="105" w:name="_Toc32689_WPSOffice_Level2"/>
      <w:bookmarkStart w:id="106" w:name="_Toc13084_WPSOffice_Level2"/>
      <w:bookmarkStart w:id="107" w:name="_Toc23966_WPSOffice_Level2"/>
      <w:bookmarkStart w:id="108" w:name="_Toc30383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w:t>
      </w:r>
      <w:r>
        <w:rPr>
          <w:rFonts w:hint="eastAsia" w:ascii="仿宋_GB2312" w:hAnsi="ˎ̥" w:eastAsia="仿宋_GB2312"/>
          <w:color w:val="auto"/>
          <w:sz w:val="32"/>
          <w:szCs w:val="32"/>
          <w:shd w:val="clear" w:color="auto" w:fill="auto"/>
          <w:lang w:val="en-US" w:eastAsia="zh-CN"/>
        </w:rPr>
        <w:t>色尼区</w:t>
      </w:r>
      <w:r>
        <w:rPr>
          <w:rFonts w:hint="eastAsia" w:ascii="仿宋_GB2312" w:hAnsi="ˎ̥" w:eastAsia="仿宋_GB2312"/>
          <w:color w:val="auto"/>
          <w:sz w:val="32"/>
          <w:szCs w:val="32"/>
          <w:lang w:val="en-US" w:eastAsia="zh-CN"/>
        </w:rPr>
        <w:t>达萨乡第二小学</w:t>
      </w:r>
      <w:r>
        <w:rPr>
          <w:rFonts w:hint="eastAsia" w:ascii="仿宋_GB2312" w:hAnsi="ˎ̥" w:eastAsia="仿宋_GB2312"/>
          <w:color w:val="auto"/>
          <w:sz w:val="32"/>
          <w:szCs w:val="32"/>
        </w:rPr>
        <w:t>部门</w:t>
      </w:r>
      <w:r>
        <w:rPr>
          <w:rFonts w:hint="eastAsia" w:ascii="仿宋_GB2312" w:hAnsi="ˎ̥" w:eastAsia="仿宋_GB2312"/>
          <w:color w:val="auto"/>
          <w:sz w:val="32"/>
          <w:szCs w:val="32"/>
          <w:shd w:val="clear" w:color="auto" w:fill="auto"/>
        </w:rPr>
        <w:t>（单位）政府采购支出总额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auto"/>
          <w:sz w:val="32"/>
          <w:szCs w:val="32"/>
          <w:lang w:val="en-US" w:eastAsia="zh-CN"/>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6016_WPSOffice_Level2"/>
      <w:bookmarkStart w:id="110" w:name="_Toc10902_WPSOffice_Level2"/>
      <w:bookmarkStart w:id="111" w:name="_Toc29584_WPSOffice_Level2"/>
      <w:bookmarkStart w:id="112" w:name="_Toc15129_WPSOffice_Level2"/>
      <w:bookmarkStart w:id="113" w:name="_Toc527_WPSOffice_Level2"/>
      <w:bookmarkStart w:id="114" w:name="_Toc19989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auto"/>
          <w:sz w:val="32"/>
          <w:szCs w:val="32"/>
          <w:lang w:val="en-US" w:eastAsia="zh-CN"/>
        </w:rPr>
        <w:t>2764.82</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8808_WPSOffice_Level1"/>
      <w:bookmarkStart w:id="116" w:name="_Toc8874_WPSOffice_Level1"/>
      <w:bookmarkStart w:id="117" w:name="_Toc11039_WPSOffice_Level1"/>
      <w:bookmarkStart w:id="118" w:name="_Toc4398_WPSOffice_Level1"/>
      <w:bookmarkStart w:id="119" w:name="_Toc17580_WPSOffice_Level1"/>
      <w:bookmarkStart w:id="120"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5A8FCC9"/>
    <w:multiLevelType w:val="singleLevel"/>
    <w:tmpl w:val="75A8FCC9"/>
    <w:lvl w:ilvl="0" w:tentative="0">
      <w:start w:val="1"/>
      <w:numFmt w:val="decimal"/>
      <w:lvlText w:val="%1."/>
      <w:lvlJc w:val="left"/>
      <w:pPr>
        <w:tabs>
          <w:tab w:val="left" w:pos="312"/>
        </w:tabs>
      </w:pPr>
    </w:lvl>
  </w:abstractNum>
  <w:abstractNum w:abstractNumId="3">
    <w:nsid w:val="771E1FFE"/>
    <w:multiLevelType w:val="singleLevel"/>
    <w:tmpl w:val="771E1FF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83550D"/>
    <w:rsid w:val="061D5F0A"/>
    <w:rsid w:val="09201287"/>
    <w:rsid w:val="0DE2742F"/>
    <w:rsid w:val="0FC80124"/>
    <w:rsid w:val="11A174CA"/>
    <w:rsid w:val="136F98C7"/>
    <w:rsid w:val="17427E68"/>
    <w:rsid w:val="1755065F"/>
    <w:rsid w:val="1AFC29C9"/>
    <w:rsid w:val="1CA52F2E"/>
    <w:rsid w:val="1DFE370B"/>
    <w:rsid w:val="1E3630B9"/>
    <w:rsid w:val="1EC470E5"/>
    <w:rsid w:val="206024D5"/>
    <w:rsid w:val="267E5495"/>
    <w:rsid w:val="26EEC2B5"/>
    <w:rsid w:val="29472309"/>
    <w:rsid w:val="2B406E77"/>
    <w:rsid w:val="2C2A0C43"/>
    <w:rsid w:val="2D1E73A5"/>
    <w:rsid w:val="32717154"/>
    <w:rsid w:val="34B63260"/>
    <w:rsid w:val="358416AA"/>
    <w:rsid w:val="37FDA7E2"/>
    <w:rsid w:val="3A314D88"/>
    <w:rsid w:val="3A746883"/>
    <w:rsid w:val="3CA15DE9"/>
    <w:rsid w:val="3DF33C93"/>
    <w:rsid w:val="3E766A73"/>
    <w:rsid w:val="3FE61EE5"/>
    <w:rsid w:val="406508EE"/>
    <w:rsid w:val="408D6263"/>
    <w:rsid w:val="41B40CEE"/>
    <w:rsid w:val="46E2638C"/>
    <w:rsid w:val="48317291"/>
    <w:rsid w:val="485F7024"/>
    <w:rsid w:val="48E70666"/>
    <w:rsid w:val="4C486BB6"/>
    <w:rsid w:val="4C6877E5"/>
    <w:rsid w:val="4D6A468D"/>
    <w:rsid w:val="4EA86137"/>
    <w:rsid w:val="4EFE29BD"/>
    <w:rsid w:val="4FA36BA9"/>
    <w:rsid w:val="54AA3DF7"/>
    <w:rsid w:val="56CA7FD0"/>
    <w:rsid w:val="57FA38D1"/>
    <w:rsid w:val="5F7D3333"/>
    <w:rsid w:val="61385890"/>
    <w:rsid w:val="687436E1"/>
    <w:rsid w:val="69C80FBA"/>
    <w:rsid w:val="6C361582"/>
    <w:rsid w:val="6DA45C50"/>
    <w:rsid w:val="6E9A7825"/>
    <w:rsid w:val="6F670F9B"/>
    <w:rsid w:val="737450E0"/>
    <w:rsid w:val="73F141CE"/>
    <w:rsid w:val="74054476"/>
    <w:rsid w:val="742F38C4"/>
    <w:rsid w:val="74AB66DC"/>
    <w:rsid w:val="74C4154C"/>
    <w:rsid w:val="75956FFF"/>
    <w:rsid w:val="76C30EE4"/>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28</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