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西藏那曲市色尼区尼玛乡小学2024年度部门决算公开报告</w:t>
      </w: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0049_WPSOffice_Level1"/>
      <w:bookmarkStart w:id="4" w:name="_Toc32433_WPSOffice_Level1"/>
      <w:bookmarkStart w:id="5" w:name="_Toc1704_WPSOffice_Level1"/>
      <w:bookmarkStart w:id="6" w:name="_Toc23465_WPSOffice_Level1"/>
      <w:bookmarkStart w:id="7" w:name="_Toc22941_WPSOffice_Level1"/>
      <w:bookmarkStart w:id="8" w:name="_Toc24238_WPSOffice_Level2"/>
      <w:bookmarkStart w:id="9" w:name="_Toc20274_WPSOffice_Level2"/>
      <w:bookmarkStart w:id="10" w:name="_Toc32622_WPSOffice_Level2"/>
      <w:bookmarkStart w:id="11" w:name="_Toc26580_WPSOffice_Level2"/>
      <w:bookmarkStart w:id="12" w:name="_Toc20205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rPr>
          <w:rFonts w:hint="eastAsia" w:ascii="仿宋" w:hAnsi="仿宋" w:eastAsia="仿宋" w:cs="仿宋"/>
          <w:color w:val="auto"/>
          <w:sz w:val="32"/>
          <w:szCs w:val="32"/>
        </w:rPr>
      </w:pPr>
      <w:r>
        <w:rPr>
          <w:rFonts w:hint="eastAsia" w:ascii="仿宋" w:hAnsi="仿宋" w:eastAsia="仿宋" w:cs="仿宋"/>
          <w:color w:val="auto"/>
          <w:sz w:val="32"/>
          <w:szCs w:val="32"/>
        </w:rPr>
        <w:t>1. 行政办公室：学校“中枢神经”，统筹协调日常事务，负责文件收发、会议组织、人事管理及对外联络，保障学校整体运转高效有序 。</w:t>
      </w:r>
    </w:p>
    <w:p>
      <w:pPr>
        <w:rPr>
          <w:rFonts w:hint="eastAsia" w:ascii="仿宋" w:hAnsi="仿宋" w:eastAsia="仿宋" w:cs="仿宋"/>
          <w:color w:val="auto"/>
          <w:sz w:val="32"/>
          <w:szCs w:val="32"/>
        </w:rPr>
      </w:pPr>
      <w:r>
        <w:rPr>
          <w:rFonts w:hint="eastAsia" w:ascii="仿宋" w:hAnsi="仿宋" w:eastAsia="仿宋" w:cs="仿宋"/>
          <w:color w:val="auto"/>
          <w:sz w:val="32"/>
          <w:szCs w:val="32"/>
        </w:rPr>
        <w:t>2. 教务处：教学核心管理部门，主导课程安排、师资调配、教学质量监控，统筹考试组织与学生成绩管理，推动教学计划落地与教学改革 。</w:t>
      </w:r>
    </w:p>
    <w:p>
      <w:pPr>
        <w:rPr>
          <w:rFonts w:hint="eastAsia" w:ascii="仿宋" w:hAnsi="仿宋" w:eastAsia="仿宋" w:cs="仿宋"/>
          <w:color w:val="auto"/>
          <w:sz w:val="32"/>
          <w:szCs w:val="32"/>
        </w:rPr>
      </w:pPr>
      <w:r>
        <w:rPr>
          <w:rFonts w:hint="eastAsia" w:ascii="仿宋" w:hAnsi="仿宋" w:eastAsia="仿宋" w:cs="仿宋"/>
          <w:color w:val="auto"/>
          <w:sz w:val="32"/>
          <w:szCs w:val="32"/>
        </w:rPr>
        <w:t>3. 德育处（政教处）：聚焦学生思想</w:t>
      </w:r>
      <w:r>
        <w:rPr>
          <w:rFonts w:hint="eastAsia" w:ascii="仿宋" w:hAnsi="仿宋" w:eastAsia="仿宋" w:cs="仿宋"/>
          <w:color w:val="auto"/>
          <w:sz w:val="32"/>
          <w:szCs w:val="32"/>
          <w:lang w:val="en-US"/>
        </w:rPr>
        <w:t>政治</w:t>
      </w:r>
      <w:r>
        <w:rPr>
          <w:rFonts w:hint="eastAsia" w:ascii="仿宋" w:hAnsi="仿宋" w:eastAsia="仿宋" w:cs="仿宋"/>
          <w:color w:val="auto"/>
          <w:sz w:val="32"/>
          <w:szCs w:val="32"/>
        </w:rPr>
        <w:t>与行为管理，策划开展德育活动（如主题班会、志愿服务），处理学生日常行为规范</w:t>
      </w:r>
      <w:r>
        <w:rPr>
          <w:rFonts w:hint="eastAsia" w:ascii="仿宋" w:hAnsi="仿宋" w:eastAsia="仿宋" w:cs="仿宋"/>
          <w:color w:val="auto"/>
          <w:sz w:val="32"/>
          <w:szCs w:val="32"/>
          <w:lang w:val="en-US"/>
        </w:rPr>
        <w:t>和养成习惯等</w:t>
      </w:r>
      <w:r>
        <w:rPr>
          <w:rFonts w:hint="eastAsia" w:ascii="仿宋" w:hAnsi="仿宋" w:eastAsia="仿宋" w:cs="仿宋"/>
          <w:color w:val="auto"/>
          <w:sz w:val="32"/>
          <w:szCs w:val="32"/>
        </w:rPr>
        <w:t>问题，</w:t>
      </w:r>
      <w:r>
        <w:rPr>
          <w:rFonts w:hint="eastAsia" w:ascii="仿宋" w:hAnsi="仿宋" w:eastAsia="仿宋" w:cs="仿宋"/>
          <w:color w:val="auto"/>
          <w:sz w:val="32"/>
          <w:szCs w:val="32"/>
          <w:lang w:val="en-US"/>
        </w:rPr>
        <w:t>以及学生宿舍管理，</w:t>
      </w:r>
      <w:r>
        <w:rPr>
          <w:rFonts w:hint="eastAsia" w:ascii="仿宋" w:hAnsi="仿宋" w:eastAsia="仿宋" w:cs="仿宋"/>
          <w:color w:val="auto"/>
          <w:sz w:val="32"/>
          <w:szCs w:val="32"/>
        </w:rPr>
        <w:t>协同班主任做好学生德育工作 。</w:t>
      </w:r>
    </w:p>
    <w:p>
      <w:pPr>
        <w:rPr>
          <w:rFonts w:hint="eastAsia" w:ascii="仿宋" w:hAnsi="仿宋" w:eastAsia="仿宋" w:cs="仿宋"/>
          <w:color w:val="auto"/>
          <w:sz w:val="32"/>
          <w:szCs w:val="32"/>
        </w:rPr>
      </w:pPr>
      <w:r>
        <w:rPr>
          <w:rFonts w:hint="eastAsia" w:ascii="仿宋" w:hAnsi="仿宋" w:eastAsia="仿宋" w:cs="仿宋"/>
          <w:color w:val="auto"/>
          <w:sz w:val="32"/>
          <w:szCs w:val="32"/>
        </w:rPr>
        <w:t>4. 总务处（后勤保障处）：校园“大管家”，负责校园设施维护、食堂运营、物资采购与安全保卫，为教学、师生生活提供后勤支撑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 财务处：掌管学校财务收支，负责预算编制、费用核算，确保学校资金使用合规、透明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lang w:val="en-US"/>
        </w:rPr>
        <w:t>党建办: 组织开展理论学习，落实党内教育活动，提升党员及教职工思想政治素养，负责党员发展、教育、管理，统筹党支部建设，规范党内组织生活，制定学校党建工作计划，协调推进党建与教育教学融合，落实上级党组织部署任务 。</w:t>
      </w:r>
    </w:p>
    <w:p>
      <w:pPr>
        <w:numPr>
          <w:numId w:val="0"/>
        </w:numPr>
        <w:spacing w:line="578" w:lineRule="exact"/>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4833_WPSOffice_Level2"/>
      <w:bookmarkStart w:id="15" w:name="_Toc17796_WPSOffice_Level2"/>
      <w:bookmarkStart w:id="16" w:name="_Toc6572_WPSOffice_Level2"/>
      <w:bookmarkStart w:id="17" w:name="_Toc24474_WPSOffice_Level2"/>
      <w:bookmarkStart w:id="18" w:name="_Toc24059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色尼区尼玛乡小学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统一社会信用代码：</w:t>
      </w:r>
      <w:r>
        <w:rPr>
          <w:rFonts w:hint="eastAsia" w:ascii="仿宋" w:hAnsi="仿宋" w:eastAsia="仿宋" w:cs="仿宋"/>
          <w:color w:val="auto"/>
          <w:sz w:val="32"/>
          <w:szCs w:val="32"/>
          <w:highlight w:val="none"/>
          <w:lang w:val="en-US" w:eastAsia="zh-CN"/>
        </w:rPr>
        <w:t>12542421MB076334X0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320" w:firstLineChars="1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8164_WPSOffice_Level1"/>
      <w:bookmarkStart w:id="20" w:name="_Toc6234_WPSOffice_Level1"/>
      <w:bookmarkStart w:id="21" w:name="_Toc15521_WPSOffice_Level1"/>
      <w:bookmarkStart w:id="22" w:name="_Toc30451_WPSOffice_Level1"/>
      <w:bookmarkStart w:id="23" w:name="_Toc30690_WPSOffice_Level1"/>
      <w:bookmarkStart w:id="24" w:name="_Toc28253_WPSOffice_Level1"/>
      <w:bookmarkStart w:id="25" w:name="_Toc32695_WPSOffice_Level2"/>
      <w:bookmarkStart w:id="26" w:name="_Toc6211_WPSOffice_Level2"/>
      <w:bookmarkStart w:id="27" w:name="_Toc32472_WPSOffice_Level2"/>
      <w:bookmarkStart w:id="28" w:name="_Toc11518_WPSOffice_Level2"/>
      <w:bookmarkStart w:id="29" w:name="_Toc8867_WPSOffice_Level2"/>
      <w:bookmarkStart w:id="30" w:name="_Toc402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6621_WPSOffice_Level2"/>
      <w:bookmarkStart w:id="32" w:name="_Toc30334_WPSOffice_Level2"/>
      <w:bookmarkStart w:id="33" w:name="_Toc14349_WPSOffice_Level2"/>
      <w:bookmarkStart w:id="34" w:name="_Toc23139_WPSOffice_Level2"/>
      <w:bookmarkStart w:id="35" w:name="_Toc25608_WPSOffice_Level2"/>
      <w:bookmarkStart w:id="36" w:name="_Toc28622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3854_WPSOffice_Level2"/>
      <w:bookmarkStart w:id="38" w:name="_Toc17858_WPSOffice_Level2"/>
      <w:bookmarkStart w:id="39" w:name="_Toc17626_WPSOffice_Level2"/>
      <w:bookmarkStart w:id="40" w:name="_Toc14658_WPSOffice_Level2"/>
      <w:bookmarkStart w:id="41" w:name="_Toc5489_WPSOffice_Level2"/>
      <w:bookmarkStart w:id="42"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1415_WPSOffice_Level2"/>
      <w:bookmarkStart w:id="44" w:name="_Toc23591_WPSOffice_Level2"/>
      <w:bookmarkStart w:id="45" w:name="_Toc4265_WPSOffice_Level2"/>
      <w:bookmarkStart w:id="46" w:name="_Toc7988_WPSOffice_Level2"/>
      <w:bookmarkStart w:id="47" w:name="_Toc23493_WPSOffice_Level2"/>
      <w:bookmarkStart w:id="48" w:name="_Toc1370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2783_WPSOffice_Level2"/>
      <w:bookmarkStart w:id="51" w:name="_Toc25166_WPSOffice_Level2"/>
      <w:bookmarkStart w:id="52" w:name="_Toc23829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5362_WPSOffice_Level2"/>
      <w:bookmarkStart w:id="56" w:name="_Toc2632_WPSOffice_Level2"/>
      <w:bookmarkStart w:id="57" w:name="_Toc17283_WPSOffice_Level2"/>
      <w:bookmarkStart w:id="58" w:name="_Toc8373_WPSOffice_Level2"/>
      <w:bookmarkStart w:id="59" w:name="_Toc17833_WPSOffice_Level2"/>
      <w:bookmarkStart w:id="60"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5594_WPSOffice_Level2"/>
      <w:bookmarkStart w:id="63" w:name="_Toc21310_WPSOffice_Level2"/>
      <w:bookmarkStart w:id="64" w:name="_Toc6020_WPSOffice_Level2"/>
      <w:bookmarkStart w:id="65" w:name="_Toc11799_WPSOffice_Level2"/>
      <w:bookmarkStart w:id="66" w:name="_Toc13345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9377_WPSOffice_Level2"/>
      <w:bookmarkStart w:id="68" w:name="_Toc1820_WPSOffice_Level2"/>
      <w:bookmarkStart w:id="69" w:name="_Toc19961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16686_WPSOffice_Level1"/>
      <w:bookmarkStart w:id="72" w:name="_Toc29683_WPSOffice_Level1"/>
      <w:bookmarkStart w:id="73" w:name="_Toc4402_WPSOffice_Level1"/>
      <w:bookmarkStart w:id="74" w:name="_Toc27590_WPSOffice_Level1"/>
      <w:bookmarkStart w:id="75" w:name="_Toc28629_WPSOffice_Level1"/>
      <w:bookmarkStart w:id="76"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749.62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749.62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749.62</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749.62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749.62</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3005_WPSOffice_Level2"/>
      <w:bookmarkStart w:id="78" w:name="_Toc9989_WPSOffice_Level2"/>
      <w:bookmarkStart w:id="79" w:name="_Toc13694_WPSOffice_Level2"/>
      <w:bookmarkStart w:id="80" w:name="_Toc17398_WPSOffice_Level2"/>
      <w:bookmarkStart w:id="81" w:name="_Toc21737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27767_WPSOffice_Level2"/>
      <w:bookmarkStart w:id="84" w:name="_Toc18793_WPSOffice_Level2"/>
      <w:bookmarkStart w:id="85" w:name="_Toc19535_WPSOffice_Level2"/>
      <w:bookmarkStart w:id="86" w:name="_Toc23864_WPSOffice_Level2"/>
      <w:bookmarkStart w:id="87" w:name="_Toc19075_WPSOffice_Level2"/>
      <w:bookmarkStart w:id="88" w:name="_Toc2711_WPSOffice_Level2"/>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599.2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88.07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支出40.86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21.49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5136_WPSOffice_Level2"/>
      <w:bookmarkStart w:id="90" w:name="_Toc15415_WPSOffice_Level2"/>
      <w:bookmarkStart w:id="91" w:name="_Toc29364_WPSOffice_Level2"/>
      <w:bookmarkStart w:id="92" w:name="_Toc22318_WPSOffice_Level2"/>
      <w:bookmarkStart w:id="93" w:name="_Toc21701_WPSOffice_Level2"/>
      <w:bookmarkStart w:id="94" w:name="_Toc9502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749.61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lang w:val="en-US" w:eastAsia="zh-CN"/>
        </w:rPr>
        <w:t>教育（类）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599.2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599.2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88.07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88.07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40.86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40.86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21.49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711.92</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37.70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w:t>
      </w:r>
      <w:r>
        <w:rPr>
          <w:rFonts w:hint="eastAsia" w:ascii="仿宋_GB2312" w:hAnsi="ˎ̥" w:eastAsia="仿宋_GB2312"/>
          <w:color w:val="auto"/>
          <w:sz w:val="32"/>
          <w:szCs w:val="32"/>
          <w:lang w:val="en-US" w:eastAsia="zh-CN"/>
        </w:rPr>
        <w:t>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本部门属于新增单位,未开展此项工作。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565_WPSOffice_Level2"/>
      <w:bookmarkStart w:id="96" w:name="_Toc15262_WPSOffice_Level2"/>
      <w:bookmarkStart w:id="97" w:name="_Toc32639_WPSOffice_Level2"/>
      <w:bookmarkStart w:id="98" w:name="_Toc5978_WPSOffice_Level2"/>
      <w:bookmarkStart w:id="99" w:name="_Toc18325_WPSOffice_Level2"/>
      <w:bookmarkStart w:id="100" w:name="_Toc2359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色尼区尼玛乡小学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23966_WPSOffice_Level2"/>
      <w:bookmarkStart w:id="102" w:name="_Toc30383_WPSOffice_Level2"/>
      <w:bookmarkStart w:id="103" w:name="_Toc25333_WPSOffice_Level2"/>
      <w:bookmarkStart w:id="104" w:name="_Toc32689_WPSOffice_Level2"/>
      <w:bookmarkStart w:id="105" w:name="_Toc3131_WPSOffice_Level2"/>
      <w:bookmarkStart w:id="106" w:name="_Toc13084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色尼区尼玛乡小学</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9989_WPSOffice_Level2"/>
      <w:bookmarkStart w:id="108" w:name="_Toc29584_WPSOffice_Level2"/>
      <w:bookmarkStart w:id="109" w:name="_Toc10902_WPSOffice_Level2"/>
      <w:bookmarkStart w:id="110" w:name="_Toc6016_WPSOffice_Level2"/>
      <w:bookmarkStart w:id="111" w:name="_Toc15129_WPSOffice_Level2"/>
      <w:bookmarkStart w:id="112" w:name="_Toc527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15425_WPSOffice_Level1"/>
      <w:bookmarkStart w:id="115" w:name="_Toc8874_WPSOffice_Level1"/>
      <w:bookmarkStart w:id="116" w:name="_Toc17580_WPSOffice_Level1"/>
      <w:bookmarkStart w:id="117" w:name="_Toc11039_WPSOffice_Level1"/>
      <w:bookmarkStart w:id="118"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bookmarkStart w:id="119" w:name="_GoBack"/>
      <w:bookmarkEnd w:id="119"/>
      <w:r>
        <w:rPr>
          <w:rFonts w:hint="eastAsia" w:ascii="仿宋_GB2312" w:hAnsi="ˎ̥" w:eastAsia="仿宋_GB2312"/>
          <w:color w:val="auto"/>
          <w:sz w:val="32"/>
          <w:szCs w:val="32"/>
        </w:rPr>
        <w:t>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5"/>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1B7C8B"/>
    <w:multiLevelType w:val="singleLevel"/>
    <w:tmpl w:val="001B7C8B"/>
    <w:lvl w:ilvl="0" w:tentative="0">
      <w:start w:val="2"/>
      <w:numFmt w:val="decimal"/>
      <w:lvlText w:val="%1."/>
      <w:lvlJc w:val="left"/>
      <w:pPr>
        <w:tabs>
          <w:tab w:val="left" w:pos="312"/>
        </w:tabs>
      </w:pPr>
    </w:lvl>
  </w:abstractNum>
  <w:abstractNum w:abstractNumId="3">
    <w:nsid w:val="2AE485D8"/>
    <w:multiLevelType w:val="singleLevel"/>
    <w:tmpl w:val="2AE485D8"/>
    <w:lvl w:ilvl="0" w:tentative="0">
      <w:start w:val="1"/>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6FD2CF4"/>
    <w:rsid w:val="17427E68"/>
    <w:rsid w:val="1755065F"/>
    <w:rsid w:val="1AFC29C9"/>
    <w:rsid w:val="1C9673F2"/>
    <w:rsid w:val="1CA52F2E"/>
    <w:rsid w:val="1DFE370B"/>
    <w:rsid w:val="1E3630B9"/>
    <w:rsid w:val="1EE94E1C"/>
    <w:rsid w:val="26EEC2B5"/>
    <w:rsid w:val="29472309"/>
    <w:rsid w:val="2B406E77"/>
    <w:rsid w:val="2C2A0C43"/>
    <w:rsid w:val="2D1E73A5"/>
    <w:rsid w:val="32717154"/>
    <w:rsid w:val="34B63260"/>
    <w:rsid w:val="35C4421A"/>
    <w:rsid w:val="37FDA7E2"/>
    <w:rsid w:val="3A314D88"/>
    <w:rsid w:val="3A746883"/>
    <w:rsid w:val="3CA15DE9"/>
    <w:rsid w:val="3FE61EE5"/>
    <w:rsid w:val="406508EE"/>
    <w:rsid w:val="408D6263"/>
    <w:rsid w:val="40F22C80"/>
    <w:rsid w:val="41B40CEE"/>
    <w:rsid w:val="48317291"/>
    <w:rsid w:val="485F7024"/>
    <w:rsid w:val="48E70666"/>
    <w:rsid w:val="4C6877E5"/>
    <w:rsid w:val="4D6A468D"/>
    <w:rsid w:val="4EA86137"/>
    <w:rsid w:val="52BF4C28"/>
    <w:rsid w:val="56CA7FD0"/>
    <w:rsid w:val="57FA38D1"/>
    <w:rsid w:val="5F7D3333"/>
    <w:rsid w:val="61385890"/>
    <w:rsid w:val="614800A8"/>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2025-10-10T11:19:10Z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