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西藏那曲市色尼区古露镇小学2024年度部门决算公开报告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10049_WPSOffice_Level1"/>
      <w:bookmarkStart w:id="4" w:name="_Toc32433_WPSOffice_Level1"/>
      <w:bookmarkStart w:id="5" w:name="_Toc23465_WPSOffice_Level1"/>
      <w:bookmarkStart w:id="6" w:name="_Toc10720_WPSOffice_Level1"/>
      <w:bookmarkStart w:id="7" w:name="_Toc22941_WPSOffice_Level1"/>
      <w:bookmarkStart w:id="8" w:name="_Toc24238_WPSOffice_Level2"/>
      <w:bookmarkStart w:id="9" w:name="_Toc20274_WPSOffice_Level2"/>
      <w:bookmarkStart w:id="10" w:name="_Toc14159_WPSOffice_Level2"/>
      <w:bookmarkStart w:id="11" w:name="_Toc26580_WPSOffice_Level2"/>
      <w:bookmarkStart w:id="12" w:name="_Toc32622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p>
    <w:p>
      <w:pPr>
        <w:rPr>
          <w:rFonts w:hint="eastAsia" w:ascii="仿宋" w:hAnsi="仿宋" w:eastAsia="仿宋" w:cs="仿宋"/>
          <w:color w:val="auto"/>
          <w:sz w:val="32"/>
          <w:szCs w:val="32"/>
        </w:rPr>
      </w:pPr>
      <w:r>
        <w:rPr>
          <w:rFonts w:hint="eastAsia" w:ascii="仿宋" w:hAnsi="仿宋" w:eastAsia="仿宋" w:cs="仿宋"/>
          <w:color w:val="auto"/>
          <w:sz w:val="32"/>
          <w:szCs w:val="32"/>
        </w:rPr>
        <w:t>1. 行政办公室：学校“中枢神经”，统筹协调日常事务，负责文件收发、会议组织、人事管理及对外联络，保障学校整体运转高效有序 。</w:t>
      </w:r>
    </w:p>
    <w:p>
      <w:pPr>
        <w:rPr>
          <w:rFonts w:hint="eastAsia" w:ascii="仿宋" w:hAnsi="仿宋" w:eastAsia="仿宋" w:cs="仿宋"/>
          <w:color w:val="auto"/>
          <w:sz w:val="32"/>
          <w:szCs w:val="32"/>
        </w:rPr>
      </w:pPr>
      <w:r>
        <w:rPr>
          <w:rFonts w:hint="eastAsia" w:ascii="仿宋" w:hAnsi="仿宋" w:eastAsia="仿宋" w:cs="仿宋"/>
          <w:color w:val="auto"/>
          <w:sz w:val="32"/>
          <w:szCs w:val="32"/>
        </w:rPr>
        <w:t>2. 教务处：教学核心管理部门，主导课程安排、师资调配、教学质量监控，统筹考试组织与学生成绩管理，推动教学计划落地与教学改革 。</w:t>
      </w:r>
    </w:p>
    <w:p>
      <w:pPr>
        <w:rPr>
          <w:rFonts w:hint="eastAsia" w:ascii="仿宋" w:hAnsi="仿宋" w:eastAsia="仿宋" w:cs="仿宋"/>
          <w:color w:val="auto"/>
          <w:sz w:val="32"/>
          <w:szCs w:val="32"/>
        </w:rPr>
      </w:pPr>
      <w:r>
        <w:rPr>
          <w:rFonts w:hint="eastAsia" w:ascii="仿宋" w:hAnsi="仿宋" w:eastAsia="仿宋" w:cs="仿宋"/>
          <w:color w:val="auto"/>
          <w:sz w:val="32"/>
          <w:szCs w:val="32"/>
        </w:rPr>
        <w:t>3. 德育处（政教处）：聚焦学生思想</w:t>
      </w:r>
      <w:r>
        <w:rPr>
          <w:rFonts w:hint="eastAsia" w:ascii="仿宋" w:hAnsi="仿宋" w:eastAsia="仿宋" w:cs="仿宋"/>
          <w:color w:val="auto"/>
          <w:sz w:val="32"/>
          <w:szCs w:val="32"/>
          <w:lang w:val="en-US"/>
        </w:rPr>
        <w:t>政治</w:t>
      </w:r>
      <w:r>
        <w:rPr>
          <w:rFonts w:hint="eastAsia" w:ascii="仿宋" w:hAnsi="仿宋" w:eastAsia="仿宋" w:cs="仿宋"/>
          <w:color w:val="auto"/>
          <w:sz w:val="32"/>
          <w:szCs w:val="32"/>
        </w:rPr>
        <w:t>与行为管理，策划开展德育活动（如主题班会、志愿服务），处理学生日常行为规范</w:t>
      </w:r>
      <w:r>
        <w:rPr>
          <w:rFonts w:hint="eastAsia" w:ascii="仿宋" w:hAnsi="仿宋" w:eastAsia="仿宋" w:cs="仿宋"/>
          <w:color w:val="auto"/>
          <w:sz w:val="32"/>
          <w:szCs w:val="32"/>
          <w:lang w:val="en-US"/>
        </w:rPr>
        <w:t>和养成习惯等</w:t>
      </w:r>
      <w:r>
        <w:rPr>
          <w:rFonts w:hint="eastAsia" w:ascii="仿宋" w:hAnsi="仿宋" w:eastAsia="仿宋" w:cs="仿宋"/>
          <w:color w:val="auto"/>
          <w:sz w:val="32"/>
          <w:szCs w:val="32"/>
        </w:rPr>
        <w:t>问题，</w:t>
      </w:r>
      <w:r>
        <w:rPr>
          <w:rFonts w:hint="eastAsia" w:ascii="仿宋" w:hAnsi="仿宋" w:eastAsia="仿宋" w:cs="仿宋"/>
          <w:color w:val="auto"/>
          <w:sz w:val="32"/>
          <w:szCs w:val="32"/>
          <w:lang w:val="en-US"/>
        </w:rPr>
        <w:t>以及学生宿舍管理，</w:t>
      </w:r>
      <w:r>
        <w:rPr>
          <w:rFonts w:hint="eastAsia" w:ascii="仿宋" w:hAnsi="仿宋" w:eastAsia="仿宋" w:cs="仿宋"/>
          <w:color w:val="auto"/>
          <w:sz w:val="32"/>
          <w:szCs w:val="32"/>
        </w:rPr>
        <w:t>协同班主任做好学生德育工作 。</w:t>
      </w:r>
    </w:p>
    <w:p>
      <w:pPr>
        <w:rPr>
          <w:rFonts w:hint="eastAsia" w:ascii="仿宋" w:hAnsi="仿宋" w:eastAsia="仿宋" w:cs="仿宋"/>
          <w:color w:val="auto"/>
          <w:sz w:val="32"/>
          <w:szCs w:val="32"/>
        </w:rPr>
      </w:pPr>
      <w:r>
        <w:rPr>
          <w:rFonts w:hint="eastAsia" w:ascii="仿宋" w:hAnsi="仿宋" w:eastAsia="仿宋" w:cs="仿宋"/>
          <w:color w:val="auto"/>
          <w:sz w:val="32"/>
          <w:szCs w:val="32"/>
        </w:rPr>
        <w:t>4. 总务处（后勤保障处）：校园“大管家”，负责校园设施维护、食堂运营、物资采购与安全保卫，为教学、师生生活提供后勤支撑 。</w:t>
      </w:r>
    </w:p>
    <w:p>
      <w:pPr>
        <w:pStyle w:val="18"/>
        <w:numPr>
          <w:ilvl w:val="0"/>
          <w:numId w:val="3"/>
        </w:numPr>
        <w:ind w:firstLineChars="0"/>
        <w:rPr>
          <w:rFonts w:hint="eastAsia" w:ascii="仿宋" w:hAnsi="仿宋" w:eastAsia="仿宋" w:cs="仿宋"/>
          <w:color w:val="auto"/>
          <w:sz w:val="32"/>
          <w:szCs w:val="32"/>
        </w:rPr>
      </w:pPr>
      <w:r>
        <w:rPr>
          <w:rFonts w:hint="eastAsia" w:ascii="仿宋" w:hAnsi="仿宋" w:eastAsia="仿宋" w:cs="仿宋"/>
          <w:color w:val="auto"/>
          <w:sz w:val="32"/>
          <w:szCs w:val="32"/>
        </w:rPr>
        <w:t xml:space="preserve"> 财务处：掌管学校财务收支，负责预算编制、费用核算，确保学校资金使用合规、透明 。</w:t>
      </w:r>
    </w:p>
    <w:p>
      <w:pPr>
        <w:pStyle w:val="18"/>
        <w:numPr>
          <w:ilvl w:val="0"/>
          <w:numId w:val="3"/>
        </w:numPr>
        <w:ind w:firstLineChars="0"/>
        <w:rPr>
          <w:rFonts w:hint="eastAsia" w:ascii="仿宋" w:hAnsi="仿宋" w:eastAsia="仿宋" w:cs="仿宋"/>
          <w:color w:val="auto"/>
          <w:sz w:val="32"/>
          <w:szCs w:val="32"/>
        </w:rPr>
      </w:pPr>
      <w:r>
        <w:rPr>
          <w:rFonts w:hint="eastAsia" w:ascii="仿宋" w:hAnsi="仿宋" w:eastAsia="仿宋" w:cs="仿宋"/>
          <w:color w:val="auto"/>
          <w:sz w:val="32"/>
          <w:szCs w:val="32"/>
          <w:lang w:val="en-US"/>
        </w:rPr>
        <w:t>党建办: 组织开展理论学习，落实党内教育活动，提升党员及教职工思想政治素养，负责党员发展、教育、管理，统筹党支部建设，规范党内组织生活，制定学校党建工作计划，协调推进党建与教育教学融合，落实上级党组织部署任务 。</w:t>
      </w:r>
    </w:p>
    <w:p>
      <w:pPr>
        <w:numPr>
          <w:ilvl w:val="0"/>
          <w:numId w:val="0"/>
        </w:numPr>
        <w:spacing w:line="578" w:lineRule="exact"/>
        <w:rPr>
          <w:rFonts w:hint="eastAsia" w:ascii="黑体" w:hAnsi="黑体" w:eastAsia="黑体" w:cs="黑体"/>
          <w:color w:val="auto"/>
          <w:sz w:val="32"/>
          <w:szCs w:val="32"/>
        </w:rPr>
      </w:pPr>
    </w:p>
    <w:p>
      <w:pPr>
        <w:spacing w:line="578" w:lineRule="exact"/>
        <w:ind w:firstLine="640" w:firstLineChars="200"/>
        <w:rPr>
          <w:rFonts w:hint="eastAsia" w:ascii="黑体" w:hAnsi="黑体" w:eastAsia="黑体" w:cs="黑体"/>
          <w:color w:val="auto"/>
          <w:sz w:val="32"/>
          <w:szCs w:val="32"/>
        </w:rPr>
      </w:pPr>
      <w:bookmarkStart w:id="14" w:name="_Toc24059_WPSOffice_Level2"/>
      <w:bookmarkStart w:id="15" w:name="_Toc4833_WPSOffice_Level2"/>
      <w:bookmarkStart w:id="16" w:name="_Toc17796_WPSOffice_Level2"/>
      <w:bookmarkStart w:id="17" w:name="_Toc6572_WPSOffice_Level2"/>
      <w:bookmarkStart w:id="18" w:name="_Toc24474_WPSOffice_Level2"/>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 w:hAnsi="仿宋" w:eastAsia="仿宋" w:cs="仿宋"/>
          <w:color w:val="auto"/>
          <w:sz w:val="32"/>
          <w:szCs w:val="32"/>
        </w:rPr>
      </w:pPr>
      <w:r>
        <w:rPr>
          <w:rFonts w:hint="eastAsia" w:ascii="仿宋_GB2312" w:hAnsi="ˎ̥" w:eastAsia="仿宋_GB2312"/>
          <w:color w:val="auto"/>
          <w:sz w:val="32"/>
          <w:szCs w:val="32"/>
        </w:rPr>
        <w:t>纳入</w:t>
      </w:r>
      <w:r>
        <w:rPr>
          <w:rFonts w:hint="eastAsia" w:ascii="仿宋_GB2312" w:hAnsi="ˎ̥" w:eastAsia="仿宋_GB2312"/>
          <w:color w:val="auto"/>
          <w:sz w:val="32"/>
          <w:szCs w:val="32"/>
          <w:lang w:val="en-US" w:eastAsia="zh-CN"/>
        </w:rPr>
        <w:t>色尼区古露镇小学</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年度部门决算编制范围的单位共</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个，</w:t>
      </w:r>
      <w:r>
        <w:rPr>
          <w:rFonts w:hint="eastAsia" w:ascii="仿宋" w:hAnsi="仿宋" w:eastAsia="仿宋" w:cs="仿宋"/>
          <w:color w:val="auto"/>
          <w:sz w:val="32"/>
          <w:szCs w:val="32"/>
          <w:highlight w:val="none"/>
        </w:rPr>
        <w:t xml:space="preserve"> 统一社会信用代码：</w:t>
      </w:r>
      <w:r>
        <w:rPr>
          <w:rFonts w:hint="eastAsia" w:ascii="仿宋" w:hAnsi="仿宋" w:eastAsia="仿宋" w:cs="仿宋"/>
          <w:color w:val="auto"/>
          <w:sz w:val="32"/>
          <w:szCs w:val="32"/>
          <w:highlight w:val="none"/>
          <w:lang w:val="en-US" w:eastAsia="zh-CN"/>
        </w:rPr>
        <w:t>12542421MB0763278C</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单位代码：0</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rPr>
        <w:t>00</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单位预算级次：</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单位类型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事业单位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 xml:space="preserve"> 预算级次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县区级</w:t>
      </w: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eastAsia="zh-CN"/>
        </w:rPr>
        <w:t>。</w:t>
      </w:r>
    </w:p>
    <w:p>
      <w:pPr>
        <w:spacing w:line="578" w:lineRule="exact"/>
        <w:ind w:firstLine="640" w:firstLineChars="200"/>
        <w:rPr>
          <w:rFonts w:hint="eastAsia" w:ascii="仿宋_GB2312" w:hAnsi="ˎ̥" w:eastAsia="仿宋_GB2312"/>
          <w:color w:val="auto"/>
          <w:sz w:val="32"/>
          <w:szCs w:val="32"/>
        </w:rPr>
      </w:pP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19" w:name="_Toc30451_WPSOffice_Level1"/>
      <w:bookmarkStart w:id="20" w:name="_Toc8164_WPSOffice_Level1"/>
      <w:bookmarkStart w:id="21" w:name="_Toc28253_WPSOffice_Level1"/>
      <w:bookmarkStart w:id="22" w:name="_Toc6234_WPSOffice_Level1"/>
      <w:bookmarkStart w:id="23" w:name="_Toc15521_WPSOffice_Level1"/>
      <w:bookmarkStart w:id="24" w:name="_Toc30690_WPSOffice_Level1"/>
      <w:bookmarkStart w:id="25" w:name="_Toc32472_WPSOffice_Level2"/>
      <w:bookmarkStart w:id="26" w:name="_Toc6211_WPSOffice_Level2"/>
      <w:bookmarkStart w:id="27" w:name="_Toc4029_WPSOffice_Level2"/>
      <w:bookmarkStart w:id="28" w:name="_Toc11518_WPSOffice_Level2"/>
      <w:bookmarkStart w:id="29" w:name="_Toc8867_WPSOffice_Level2"/>
      <w:bookmarkStart w:id="30" w:name="_Toc3269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5"/>
      <w:bookmarkEnd w:id="26"/>
      <w:bookmarkEnd w:id="27"/>
      <w:bookmarkEnd w:id="28"/>
      <w:bookmarkEnd w:id="29"/>
      <w:bookmarkEnd w:id="30"/>
    </w:p>
    <w:p>
      <w:pPr>
        <w:spacing w:line="578" w:lineRule="exact"/>
        <w:ind w:firstLine="645"/>
        <w:rPr>
          <w:rFonts w:hint="eastAsia" w:ascii="黑体" w:hAnsi="黑体" w:eastAsia="黑体" w:cs="黑体"/>
          <w:color w:val="auto"/>
          <w:sz w:val="32"/>
          <w:szCs w:val="32"/>
        </w:rPr>
      </w:pPr>
      <w:bookmarkStart w:id="31" w:name="_Toc28622_WPSOffice_Level2"/>
      <w:bookmarkStart w:id="32" w:name="_Toc14349_WPSOffice_Level2"/>
      <w:bookmarkStart w:id="33" w:name="_Toc26621_WPSOffice_Level2"/>
      <w:bookmarkStart w:id="34" w:name="_Toc25608_WPSOffice_Level2"/>
      <w:bookmarkStart w:id="35" w:name="_Toc30334_WPSOffice_Level2"/>
      <w:bookmarkStart w:id="36" w:name="_Toc23139_WPSOffice_Level2"/>
      <w:r>
        <w:rPr>
          <w:rFonts w:hint="eastAsia" w:ascii="黑体" w:hAnsi="黑体" w:eastAsia="黑体" w:cs="黑体"/>
          <w:color w:val="auto"/>
          <w:sz w:val="32"/>
          <w:szCs w:val="32"/>
        </w:rPr>
        <w:t>二、收入决算公开表</w:t>
      </w:r>
      <w:bookmarkEnd w:id="31"/>
      <w:bookmarkEnd w:id="32"/>
      <w:bookmarkEnd w:id="33"/>
      <w:bookmarkEnd w:id="34"/>
      <w:bookmarkEnd w:id="35"/>
      <w:bookmarkEnd w:id="36"/>
      <w:bookmarkStart w:id="37" w:name="_Toc17858_WPSOffice_Level2"/>
      <w:bookmarkStart w:id="38" w:name="_Toc3262_WPSOffice_Level2"/>
      <w:bookmarkStart w:id="39" w:name="_Toc14658_WPSOffice_Level2"/>
      <w:bookmarkStart w:id="40" w:name="_Toc17626_WPSOffice_Level2"/>
      <w:bookmarkStart w:id="41" w:name="_Toc13854_WPSOffice_Level2"/>
      <w:bookmarkStart w:id="42" w:name="_Toc5489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7"/>
      <w:bookmarkEnd w:id="38"/>
      <w:bookmarkEnd w:id="39"/>
      <w:bookmarkEnd w:id="40"/>
      <w:bookmarkEnd w:id="41"/>
      <w:bookmarkEnd w:id="42"/>
      <w:bookmarkStart w:id="43" w:name="_Toc23591_WPSOffice_Level2"/>
      <w:bookmarkStart w:id="44" w:name="_Toc23493_WPSOffice_Level2"/>
      <w:bookmarkStart w:id="45" w:name="_Toc7988_WPSOffice_Level2"/>
      <w:bookmarkStart w:id="46" w:name="_Toc4265_WPSOffice_Level2"/>
      <w:bookmarkStart w:id="47" w:name="_Toc13701_WPSOffice_Level2"/>
      <w:bookmarkStart w:id="48" w:name="_Toc2141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3"/>
      <w:bookmarkEnd w:id="44"/>
      <w:bookmarkEnd w:id="45"/>
      <w:bookmarkEnd w:id="46"/>
      <w:bookmarkEnd w:id="47"/>
      <w:bookmarkEnd w:id="48"/>
    </w:p>
    <w:p>
      <w:pPr>
        <w:spacing w:line="578" w:lineRule="exact"/>
        <w:ind w:firstLine="645"/>
        <w:rPr>
          <w:rFonts w:hint="eastAsia" w:ascii="黑体" w:hAnsi="黑体" w:eastAsia="黑体" w:cs="黑体"/>
          <w:color w:val="auto"/>
          <w:sz w:val="32"/>
          <w:szCs w:val="32"/>
        </w:rPr>
      </w:pPr>
      <w:bookmarkStart w:id="49" w:name="_Toc7879_WPSOffice_Level2"/>
      <w:bookmarkStart w:id="50" w:name="_Toc23829_WPSOffice_Level2"/>
      <w:bookmarkStart w:id="51" w:name="_Toc22783_WPSOffice_Level2"/>
      <w:bookmarkStart w:id="52" w:name="_Toc25166_WPSOffice_Level2"/>
      <w:bookmarkStart w:id="53" w:name="_Toc2158_WPSOffice_Level2"/>
      <w:bookmarkStart w:id="54" w:name="_Toc13516_WPSOffice_Level2"/>
      <w:r>
        <w:rPr>
          <w:rFonts w:hint="eastAsia" w:ascii="黑体" w:hAnsi="黑体" w:eastAsia="黑体" w:cs="黑体"/>
          <w:color w:val="auto"/>
          <w:sz w:val="32"/>
          <w:szCs w:val="32"/>
        </w:rPr>
        <w:t>五、一般公共预算财政拨款收入支出决算</w:t>
      </w:r>
      <w:bookmarkEnd w:id="49"/>
      <w:bookmarkEnd w:id="50"/>
      <w:bookmarkEnd w:id="51"/>
      <w:bookmarkEnd w:id="52"/>
      <w:r>
        <w:rPr>
          <w:rFonts w:hint="eastAsia" w:ascii="黑体" w:hAnsi="黑体" w:eastAsia="黑体" w:cs="黑体"/>
          <w:color w:val="auto"/>
          <w:sz w:val="32"/>
          <w:szCs w:val="32"/>
        </w:rPr>
        <w:t>公开表</w:t>
      </w:r>
      <w:bookmarkEnd w:id="53"/>
      <w:bookmarkEnd w:id="54"/>
      <w:bookmarkStart w:id="55" w:name="_Toc5343_WPSOffice_Level2"/>
      <w:bookmarkStart w:id="56" w:name="_Toc17283_WPSOffice_Level2"/>
      <w:bookmarkStart w:id="57" w:name="_Toc2632_WPSOffice_Level2"/>
      <w:bookmarkStart w:id="58" w:name="_Toc8373_WPSOffice_Level2"/>
      <w:bookmarkStart w:id="59" w:name="_Toc17833_WPSOffice_Level2"/>
      <w:bookmarkStart w:id="60"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1" w:name="_Toc13345_WPSOffice_Level2"/>
      <w:bookmarkStart w:id="62" w:name="_Toc21310_WPSOffice_Level2"/>
      <w:bookmarkStart w:id="63" w:name="_Toc5594_WPSOffice_Level2"/>
      <w:bookmarkStart w:id="64" w:name="_Toc11799_WPSOffice_Level2"/>
      <w:bookmarkStart w:id="65" w:name="_Toc6020_WPSOffice_Level2"/>
      <w:bookmarkStart w:id="66" w:name="_Toc1533_WPSOffice_Level2"/>
      <w:r>
        <w:rPr>
          <w:rFonts w:hint="eastAsia" w:ascii="黑体" w:hAnsi="黑体" w:eastAsia="黑体" w:cs="黑体"/>
          <w:color w:val="auto"/>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7" w:name="_Toc29886_WPSOffice_Level2"/>
      <w:bookmarkStart w:id="68" w:name="_Toc19961_WPSOffice_Level2"/>
      <w:bookmarkStart w:id="69" w:name="_Toc9377_WPSOffice_Level2"/>
      <w:bookmarkStart w:id="70" w:name="_Toc1820_WPSOffice_Level2"/>
      <w:r>
        <w:rPr>
          <w:rFonts w:hint="eastAsia" w:ascii="黑体" w:hAnsi="黑体" w:eastAsia="黑体" w:cs="黑体"/>
          <w:color w:val="auto"/>
          <w:sz w:val="32"/>
          <w:szCs w:val="32"/>
        </w:rPr>
        <w:t>九、财政拨款“三公”经费支出决算</w:t>
      </w:r>
      <w:bookmarkEnd w:id="67"/>
      <w:bookmarkEnd w:id="68"/>
      <w:bookmarkEnd w:id="69"/>
      <w:bookmarkEnd w:id="70"/>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1" w:name="_Toc29683_WPSOffice_Level1"/>
      <w:bookmarkStart w:id="72" w:name="_Toc4402_WPSOffice_Level1"/>
      <w:bookmarkStart w:id="73" w:name="_Toc31264_WPSOffice_Level1"/>
      <w:bookmarkStart w:id="74" w:name="_Toc28629_WPSOffice_Level1"/>
      <w:bookmarkStart w:id="75" w:name="_Toc16686_WPSOffice_Level1"/>
      <w:bookmarkStart w:id="76" w:name="_Toc27590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1"/>
      <w:bookmarkEnd w:id="72"/>
      <w:bookmarkEnd w:id="73"/>
      <w:bookmarkEnd w:id="74"/>
      <w:bookmarkEnd w:id="75"/>
      <w:bookmarkEnd w:id="76"/>
    </w:p>
    <w:p>
      <w:pPr>
        <w:spacing w:line="578" w:lineRule="exact"/>
        <w:jc w:val="center"/>
        <w:rPr>
          <w:rFonts w:hint="eastAsia" w:ascii="黑体" w:hAnsi="ˎ̥" w:eastAsia="黑体"/>
          <w:color w:val="auto"/>
          <w:sz w:val="32"/>
          <w:szCs w:val="32"/>
        </w:rPr>
      </w:pP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黑体" w:hAnsi="黑体" w:eastAsia="黑体" w:cs="黑体"/>
          <w:bCs/>
          <w:color w:val="auto"/>
          <w:sz w:val="32"/>
          <w:szCs w:val="32"/>
        </w:rPr>
        <w:t>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万元，支出总计</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一是本部门属于新增单位。</w:t>
      </w:r>
      <w:r>
        <w:rPr>
          <w:rFonts w:hint="eastAsia" w:ascii="仿宋_GB2312" w:hAnsi="ˎ̥" w:eastAsia="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万元，主要是（资金分配去向），较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万元，主要是（简要说明结转结余的构成），较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本部门属于新增单位，无上年数据。</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万元，其中：财政拨款收入</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val="en-US" w:eastAsia="zh-CN"/>
        </w:rPr>
        <w:t>本部门属于新增单位。</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一是本部门属于新增单位。</w:t>
      </w: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万元，主要是（简要说明结转结余形成或来源），较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万元，主要是（简要说明结转结余的</w:t>
      </w:r>
      <w:r>
        <w:rPr>
          <w:rFonts w:ascii="仿宋_GB2312" w:hAnsi="ˎ̥" w:eastAsia="仿宋_GB2312"/>
          <w:color w:val="auto"/>
          <w:sz w:val="32"/>
          <w:szCs w:val="32"/>
        </w:rPr>
        <w:t>构成</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7" w:name="_Toc17398_WPSOffice_Level2"/>
      <w:bookmarkStart w:id="78" w:name="_Toc13694_WPSOffice_Level2"/>
      <w:bookmarkStart w:id="79" w:name="_Toc23005_WPSOffice_Level2"/>
      <w:bookmarkStart w:id="80" w:name="_Toc19665_WPSOffice_Level2"/>
      <w:bookmarkStart w:id="81" w:name="_Toc9989_WPSOffice_Level2"/>
      <w:bookmarkStart w:id="82" w:name="_Toc21737_WPSOffice_Level2"/>
      <w:r>
        <w:rPr>
          <w:rFonts w:hint="eastAsia" w:ascii="楷体" w:hAnsi="楷体" w:eastAsia="楷体" w:cs="楷体"/>
          <w:color w:val="auto"/>
          <w:sz w:val="32"/>
          <w:szCs w:val="32"/>
        </w:rPr>
        <w:t>（一）一般公共预算财政拨款支出决算总体情况</w:t>
      </w:r>
      <w:bookmarkEnd w:id="77"/>
      <w:bookmarkEnd w:id="78"/>
      <w:bookmarkEnd w:id="79"/>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bookmarkStart w:id="83" w:name="_Toc23864_WPSOffice_Level2"/>
      <w:bookmarkStart w:id="84" w:name="_Toc18793_WPSOffice_Level2"/>
      <w:bookmarkStart w:id="85" w:name="_Toc27767_WPSOffice_Level2"/>
      <w:bookmarkStart w:id="86" w:name="_Toc19535_WPSOffice_Level2"/>
      <w:bookmarkStart w:id="87" w:name="_Toc2711_WPSOffice_Level2"/>
      <w:bookmarkStart w:id="88" w:name="_Toc19075_WPSOffice_Level2"/>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（二）一般公共预算财政拨款支出决算结构情况</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教育</w:t>
      </w:r>
      <w:r>
        <w:rPr>
          <w:rFonts w:hint="eastAsia" w:ascii="仿宋_GB2312" w:hAnsi="ˎ̥" w:eastAsia="仿宋_GB2312"/>
          <w:b/>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1258.22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146.79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卫生健康（类）</w:t>
      </w:r>
      <w:r>
        <w:rPr>
          <w:rFonts w:hint="eastAsia" w:ascii="仿宋_GB2312" w:hAnsi="ˎ̥" w:eastAsia="仿宋_GB2312"/>
          <w:color w:val="auto"/>
          <w:sz w:val="32"/>
          <w:szCs w:val="32"/>
          <w:lang w:val="en-US" w:eastAsia="zh-CN"/>
        </w:rPr>
        <w:t>支出68.09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4.6</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35.82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9" w:name="_Toc15415_WPSOffice_Level2"/>
      <w:bookmarkStart w:id="90" w:name="_Toc25136_WPSOffice_Level2"/>
      <w:bookmarkStart w:id="91" w:name="_Toc9502_WPSOffice_Level2"/>
      <w:bookmarkStart w:id="92" w:name="_Toc22318_WPSOffice_Level2"/>
      <w:bookmarkStart w:id="93" w:name="_Toc21701_WPSOffice_Level2"/>
      <w:bookmarkStart w:id="94" w:name="_Toc29364_WPSOffice_Level2"/>
      <w:r>
        <w:rPr>
          <w:rFonts w:hint="eastAsia" w:ascii="楷体" w:hAnsi="楷体" w:eastAsia="楷体" w:cs="楷体"/>
          <w:color w:val="auto"/>
          <w:sz w:val="32"/>
          <w:szCs w:val="32"/>
        </w:rPr>
        <w:t>（三）一般公共预算财政拨款支出决算具体情况</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1508.92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bCs/>
          <w:color w:val="auto"/>
          <w:sz w:val="32"/>
          <w:szCs w:val="32"/>
        </w:rPr>
      </w:pPr>
      <w:r>
        <w:rPr>
          <w:rFonts w:hint="eastAsia" w:ascii="仿宋_GB2312" w:hAnsi="ˎ̥" w:eastAsia="仿宋_GB2312"/>
          <w:b/>
          <w:bCs/>
          <w:color w:val="auto"/>
          <w:sz w:val="32"/>
          <w:szCs w:val="32"/>
          <w:lang w:val="en-US" w:eastAsia="zh-CN"/>
        </w:rPr>
        <w:t xml:space="preserve"> 教育</w:t>
      </w:r>
      <w:r>
        <w:rPr>
          <w:rFonts w:hint="eastAsia" w:ascii="仿宋_GB2312" w:hAnsi="ˎ̥" w:eastAsia="仿宋_GB2312"/>
          <w:b/>
          <w:bCs/>
          <w:color w:val="auto"/>
          <w:sz w:val="32"/>
          <w:szCs w:val="32"/>
        </w:rPr>
        <w:t>（类）</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1258.22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1258.22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一是本部门属于新增单位。</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146.79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146.79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一是本部门属于新增单位。</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lang w:val="en-US" w:eastAsia="zh-CN"/>
        </w:rPr>
        <w:t>卫生健康（类）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68.09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68.09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一是本部门属于新增单位。</w:t>
      </w: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35.82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35.82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val="en-US" w:eastAsia="zh-CN"/>
        </w:rPr>
        <w:t>等于</w:t>
      </w:r>
      <w:r>
        <w:rPr>
          <w:rFonts w:hint="eastAsia" w:ascii="仿宋_GB2312" w:hAnsi="ˎ̥" w:eastAsia="仿宋_GB2312"/>
          <w:color w:val="auto"/>
          <w:sz w:val="32"/>
          <w:szCs w:val="32"/>
        </w:rPr>
        <w:t>预算数的主要原因：</w:t>
      </w:r>
      <w:r>
        <w:rPr>
          <w:rFonts w:hint="eastAsia" w:ascii="仿宋_GB2312" w:hAnsi="ˎ̥" w:eastAsia="仿宋_GB2312"/>
          <w:color w:val="auto"/>
          <w:sz w:val="32"/>
          <w:szCs w:val="32"/>
          <w:lang w:eastAsia="zh-CN"/>
        </w:rPr>
        <w:t>一是本部门属于新增单位。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本部分支出决算数可取自财决公开05表，年初预算数可取自各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单位年初预算大本，根据实际支出涉及的支出功能分类项级科目填列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0.00</w:t>
      </w:r>
      <w:r>
        <w:rPr>
          <w:rFonts w:hint="eastAsia" w:ascii="仿宋_GB2312" w:hAnsi="ˎ̥" w:eastAsia="仿宋_GB2312"/>
          <w:color w:val="auto"/>
          <w:sz w:val="32"/>
          <w:szCs w:val="32"/>
        </w:rPr>
        <w:t>万元，其中：人员经费</w:t>
      </w:r>
      <w:r>
        <w:rPr>
          <w:rFonts w:hint="eastAsia" w:ascii="仿宋_GB2312" w:hAnsi="ˎ̥" w:eastAsia="仿宋_GB2312"/>
          <w:color w:val="auto"/>
          <w:sz w:val="32"/>
          <w:szCs w:val="32"/>
          <w:lang w:val="en-US" w:eastAsia="zh-CN"/>
        </w:rPr>
        <w:t>1449.66</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59.26</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 xml:space="preserve">无此相关资金。           </w:t>
      </w: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w:t>
      </w:r>
      <w:r>
        <w:rPr>
          <w:rFonts w:hint="eastAsia" w:ascii="仿宋_GB2312" w:hAnsi="ˎ̥" w:eastAsia="仿宋_GB2312"/>
          <w:color w:val="auto"/>
          <w:sz w:val="32"/>
          <w:szCs w:val="32"/>
          <w:lang w:eastAsia="zh-CN"/>
        </w:rPr>
        <w:t>一是本部门属于新增单位。</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本部门属于新增单位，并且无相关资金。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%。决算数大于（小于）预算数的主要原因：</w:t>
      </w:r>
      <w:r>
        <w:rPr>
          <w:rFonts w:hint="eastAsia" w:ascii="仿宋_GB2312" w:hAnsi="ˎ̥" w:eastAsia="仿宋_GB2312"/>
          <w:color w:val="auto"/>
          <w:sz w:val="32"/>
          <w:szCs w:val="32"/>
          <w:lang w:eastAsia="zh-CN"/>
        </w:rPr>
        <w:t>一是本部门属于新增单位。</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辆，主要用于……，年末公务用车保有量</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本部门属于新增单位，未安排相关资金。</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本部门属于新增单位，未安排相关资金。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w:t>
      </w:r>
      <w:r>
        <w:rPr>
          <w:rFonts w:hint="eastAsia" w:ascii="仿宋_GB2312" w:eastAsia="仿宋_GB2312"/>
          <w:color w:val="auto"/>
          <w:sz w:val="32"/>
          <w:szCs w:val="32"/>
          <w:lang w:val="en-US" w:eastAsia="zh-CN"/>
        </w:rPr>
        <w:t>未</w:t>
      </w:r>
      <w:r>
        <w:rPr>
          <w:rFonts w:hint="eastAsia" w:ascii="仿宋_GB2312" w:eastAsia="仿宋_GB2312"/>
          <w:color w:val="auto"/>
          <w:sz w:val="32"/>
          <w:szCs w:val="32"/>
        </w:rPr>
        <w:t>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共涉及资金0万元，占一般公共预算项目支出总额的0%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个国有资本经营预算项目开展绩效自评，共涉及资金</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万元，占国有资本经营预算项目支出总额的</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从评价情况来看，</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 xml:space="preserve">本部门属于新增单位,未开展此项工作。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%。项目绩效目标完成情况：</w:t>
      </w:r>
      <w:r>
        <w:rPr>
          <w:rFonts w:hint="eastAsia" w:ascii="仿宋_GB2312" w:eastAsia="仿宋_GB2312"/>
          <w:color w:val="auto"/>
          <w:sz w:val="32"/>
          <w:szCs w:val="32"/>
          <w:lang w:val="en-US" w:eastAsia="zh-CN"/>
        </w:rPr>
        <w:t>未开展此项工作，具体原因：一是</w:t>
      </w:r>
      <w:r>
        <w:rPr>
          <w:rFonts w:hint="eastAsia" w:ascii="仿宋_GB2312" w:hAnsi="ˎ̥" w:eastAsia="仿宋_GB2312"/>
          <w:color w:val="auto"/>
          <w:sz w:val="32"/>
          <w:szCs w:val="32"/>
          <w:lang w:val="en-US" w:eastAsia="zh-CN"/>
        </w:rPr>
        <w:t>本部门属于新增单位。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5" w:name="_Toc15262_WPSOffice_Level2"/>
      <w:bookmarkStart w:id="96" w:name="_Toc32639_WPSOffice_Level2"/>
      <w:bookmarkStart w:id="97" w:name="_Toc23598_WPSOffice_Level2"/>
      <w:bookmarkStart w:id="98" w:name="_Toc15565_WPSOffice_Level2"/>
      <w:bookmarkStart w:id="99" w:name="_Toc18325_WPSOffice_Level2"/>
      <w:bookmarkStart w:id="100" w:name="_Toc5978_WPSOffice_Level2"/>
      <w:r>
        <w:rPr>
          <w:rFonts w:hint="eastAsia" w:ascii="楷体" w:hAnsi="楷体" w:eastAsia="楷体" w:cs="楷体"/>
          <w:bCs/>
          <w:color w:val="auto"/>
          <w:sz w:val="32"/>
          <w:szCs w:val="32"/>
        </w:rPr>
        <w:t>（一）机关运行经费支出情况</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色尼区古露镇小学</w:t>
      </w:r>
      <w:r>
        <w:rPr>
          <w:rFonts w:hint="eastAsia" w:ascii="仿宋_GB2312" w:hAnsi="ˎ̥" w:eastAsia="仿宋_GB2312"/>
          <w:color w:val="auto"/>
          <w:sz w:val="32"/>
          <w:szCs w:val="32"/>
        </w:rPr>
        <w:t>部门（单位）机关运行经费</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增长0%。</w:t>
      </w:r>
      <w:bookmarkStart w:id="119" w:name="_GoBack"/>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未安排相关资金。</w:t>
      </w:r>
    </w:p>
    <w:bookmarkEnd w:id="119"/>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1" w:name="_Toc30383_WPSOffice_Level2"/>
      <w:bookmarkStart w:id="102" w:name="_Toc13084_WPSOffice_Level2"/>
      <w:bookmarkStart w:id="103" w:name="_Toc3131_WPSOffice_Level2"/>
      <w:bookmarkStart w:id="104" w:name="_Toc25333_WPSOffice_Level2"/>
      <w:bookmarkStart w:id="105" w:name="_Toc23966_WPSOffice_Level2"/>
      <w:bookmarkStart w:id="106" w:name="_Toc32689_WPSOffice_Level2"/>
      <w:r>
        <w:rPr>
          <w:rFonts w:hint="eastAsia" w:ascii="楷体" w:hAnsi="楷体" w:eastAsia="楷体" w:cs="楷体"/>
          <w:bCs/>
          <w:color w:val="auto"/>
          <w:sz w:val="32"/>
          <w:szCs w:val="32"/>
        </w:rPr>
        <w:t>（二）政府采购支出情况</w:t>
      </w:r>
      <w:bookmarkEnd w:id="101"/>
      <w:bookmarkEnd w:id="102"/>
      <w:bookmarkEnd w:id="103"/>
      <w:bookmarkEnd w:id="104"/>
      <w:bookmarkEnd w:id="105"/>
      <w:bookmarkEnd w:id="10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色尼区古露镇小学</w:t>
      </w:r>
      <w:r>
        <w:rPr>
          <w:rFonts w:hint="eastAsia" w:ascii="仿宋_GB2312" w:hAnsi="ˎ̥" w:eastAsia="仿宋_GB2312"/>
          <w:color w:val="auto"/>
          <w:sz w:val="32"/>
          <w:szCs w:val="32"/>
        </w:rPr>
        <w:t>部门（单位）政府采购支出总额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7" w:name="_Toc19989_WPSOffice_Level2"/>
      <w:bookmarkStart w:id="108" w:name="_Toc527_WPSOffice_Level2"/>
      <w:bookmarkStart w:id="109" w:name="_Toc10902_WPSOffice_Level2"/>
      <w:bookmarkStart w:id="110" w:name="_Toc15129_WPSOffice_Level2"/>
      <w:bookmarkStart w:id="111" w:name="_Toc6016_WPSOffice_Level2"/>
      <w:bookmarkStart w:id="112" w:name="_Toc29584_WPSOffice_Level2"/>
      <w:r>
        <w:rPr>
          <w:rFonts w:hint="eastAsia" w:ascii="楷体" w:hAnsi="楷体" w:eastAsia="楷体" w:cs="楷体"/>
          <w:bCs/>
          <w:color w:val="auto"/>
          <w:sz w:val="32"/>
          <w:szCs w:val="32"/>
        </w:rPr>
        <w:t>（三）国有资产占用情况</w:t>
      </w:r>
      <w:bookmarkEnd w:id="107"/>
      <w:bookmarkEnd w:id="108"/>
      <w:bookmarkEnd w:id="109"/>
      <w:bookmarkEnd w:id="110"/>
      <w:bookmarkEnd w:id="111"/>
      <w:bookmarkEnd w:id="11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3" w:name="_Toc4398_WPSOffice_Level1"/>
      <w:bookmarkStart w:id="114" w:name="_Toc17580_WPSOffice_Level1"/>
      <w:bookmarkStart w:id="115" w:name="_Toc11039_WPSOffice_Level1"/>
      <w:bookmarkStart w:id="116" w:name="_Toc15425_WPSOffice_Level1"/>
      <w:bookmarkStart w:id="117" w:name="_Toc8808_WPSOffice_Level1"/>
      <w:bookmarkStart w:id="118"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3"/>
      <w:bookmarkEnd w:id="114"/>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（类）（款）（项），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（类）（款）（项）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EC961"/>
    <w:multiLevelType w:val="singleLevel"/>
    <w:tmpl w:val="8DCEC961"/>
    <w:lvl w:ilvl="0" w:tentative="0">
      <w:start w:val="1"/>
      <w:numFmt w:val="chineseCounting"/>
      <w:suff w:val="nothing"/>
      <w:lvlText w:val="%1、"/>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EC1FB3E2"/>
    <w:multiLevelType w:val="singleLevel"/>
    <w:tmpl w:val="EC1FB3E2"/>
    <w:lvl w:ilvl="0" w:tentative="0">
      <w:start w:val="1"/>
      <w:numFmt w:val="chineseCounting"/>
      <w:suff w:val="nothing"/>
      <w:lvlText w:val="%1、"/>
      <w:lvlJc w:val="left"/>
      <w:rPr>
        <w:rFonts w:hint="eastAsia"/>
      </w:rPr>
    </w:lvl>
  </w:abstractNum>
  <w:abstractNum w:abstractNumId="3">
    <w:nsid w:val="00000000"/>
    <w:multiLevelType w:val="multilevel"/>
    <w:tmpl w:val="00000000"/>
    <w:lvl w:ilvl="0" w:tentative="0">
      <w:start w:val="5"/>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1B7C8B"/>
    <w:multiLevelType w:val="singleLevel"/>
    <w:tmpl w:val="001B7C8B"/>
    <w:lvl w:ilvl="0" w:tentative="0">
      <w:start w:val="2"/>
      <w:numFmt w:val="decimal"/>
      <w:lvlText w:val="%1."/>
      <w:lvlJc w:val="left"/>
      <w:pPr>
        <w:tabs>
          <w:tab w:val="left" w:pos="312"/>
        </w:tabs>
      </w:pPr>
    </w:lvl>
  </w:abstractNum>
  <w:abstractNum w:abstractNumId="5">
    <w:nsid w:val="3151BD5A"/>
    <w:multiLevelType w:val="singleLevel"/>
    <w:tmpl w:val="3151BD5A"/>
    <w:lvl w:ilvl="0" w:tentative="0">
      <w:start w:val="1"/>
      <w:numFmt w:val="decimal"/>
      <w:suff w:val="space"/>
      <w:lvlText w:val="%1."/>
      <w:lvlJc w:val="left"/>
    </w:lvl>
  </w:abstractNum>
  <w:abstractNum w:abstractNumId="6">
    <w:nsid w:val="72109F8D"/>
    <w:multiLevelType w:val="singleLevel"/>
    <w:tmpl w:val="72109F8D"/>
    <w:lvl w:ilvl="0" w:tentative="0">
      <w:start w:val="7"/>
      <w:numFmt w:val="chineseCounting"/>
      <w:suff w:val="nothing"/>
      <w:lvlText w:val="%1、"/>
      <w:lvlJc w:val="left"/>
      <w:rPr>
        <w:rFonts w:hint="eastAsia"/>
      </w:r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9201287"/>
    <w:rsid w:val="09E51E76"/>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69D5B94"/>
    <w:rsid w:val="37FDA7E2"/>
    <w:rsid w:val="3A314D88"/>
    <w:rsid w:val="3A746883"/>
    <w:rsid w:val="3CA15DE9"/>
    <w:rsid w:val="3FE61EE5"/>
    <w:rsid w:val="406508EE"/>
    <w:rsid w:val="408D6263"/>
    <w:rsid w:val="41B40CEE"/>
    <w:rsid w:val="48317291"/>
    <w:rsid w:val="485F7024"/>
    <w:rsid w:val="48E70666"/>
    <w:rsid w:val="4C6877E5"/>
    <w:rsid w:val="4D6A468D"/>
    <w:rsid w:val="4E2F0BEB"/>
    <w:rsid w:val="4EA86137"/>
    <w:rsid w:val="51611ADA"/>
    <w:rsid w:val="56CA7FD0"/>
    <w:rsid w:val="57FA38D1"/>
    <w:rsid w:val="5AB103B8"/>
    <w:rsid w:val="5F7D3333"/>
    <w:rsid w:val="5FD8188A"/>
    <w:rsid w:val="61385890"/>
    <w:rsid w:val="687436E1"/>
    <w:rsid w:val="6DA45C50"/>
    <w:rsid w:val="6E9A7825"/>
    <w:rsid w:val="6F670F9B"/>
    <w:rsid w:val="6FD12C00"/>
    <w:rsid w:val="737450E0"/>
    <w:rsid w:val="74054476"/>
    <w:rsid w:val="742F38C4"/>
    <w:rsid w:val="74AB66DC"/>
    <w:rsid w:val="74C4154C"/>
    <w:rsid w:val="75956FFF"/>
    <w:rsid w:val="77AA2D01"/>
    <w:rsid w:val="785A4611"/>
    <w:rsid w:val="7B1C6522"/>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459</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2025-10-10T11:19:12Z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