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w:t>
      </w:r>
      <w:r>
        <w:rPr>
          <w:rFonts w:hint="eastAsia" w:asciiTheme="majorEastAsia" w:hAnsiTheme="majorEastAsia" w:eastAsiaTheme="majorEastAsia" w:cstheme="majorEastAsia"/>
          <w:b/>
          <w:bCs/>
          <w:color w:val="auto"/>
          <w:sz w:val="44"/>
          <w:szCs w:val="44"/>
          <w:lang w:val="en-US" w:eastAsia="zh-CN"/>
        </w:rPr>
        <w:t>色尼区第二(杭嘉）中学</w:t>
      </w:r>
      <w:r>
        <w:rPr>
          <w:rFonts w:hint="eastAsia" w:asciiTheme="majorEastAsia" w:hAnsiTheme="majorEastAsia" w:eastAsiaTheme="majorEastAsia" w:cstheme="majorEastAsia"/>
          <w:b/>
          <w:bCs/>
          <w:color w:val="auto"/>
          <w:sz w:val="44"/>
          <w:szCs w:val="44"/>
        </w:rPr>
        <w:t>2024年度部门决算公开报告</w:t>
      </w:r>
    </w:p>
    <w:p>
      <w:pPr>
        <w:spacing w:line="578" w:lineRule="exact"/>
        <w:jc w:val="center"/>
        <w:rPr>
          <w:rFonts w:hint="eastAsia" w:ascii="黑体" w:hAnsi="ˎ̥" w:eastAsia="黑体"/>
          <w:b/>
          <w:color w:val="auto"/>
          <w:sz w:val="32"/>
          <w:szCs w:val="32"/>
          <w:shd w:val="clear" w:color="auto" w:fill="auto"/>
          <w:lang w:val="en-US" w:eastAsia="zh-CN"/>
        </w:rPr>
      </w:pPr>
      <w:r>
        <w:rPr>
          <w:rFonts w:hint="eastAsia" w:ascii="黑体" w:hAnsi="ˎ̥" w:eastAsia="黑体"/>
          <w:b/>
          <w:color w:val="auto"/>
          <w:sz w:val="32"/>
          <w:szCs w:val="32"/>
          <w:shd w:val="clear" w:color="auto" w:fill="auto"/>
          <w:lang w:val="en-US" w:eastAsia="zh-CN"/>
        </w:rPr>
        <w:t xml:space="preserve"> </w:t>
      </w:r>
    </w:p>
    <w:p>
      <w:pPr>
        <w:spacing w:line="578" w:lineRule="exact"/>
        <w:jc w:val="center"/>
        <w:rPr>
          <w:rFonts w:hint="eastAsia" w:ascii="黑体" w:hAnsi="黑体" w:eastAsia="黑体" w:cs="黑体"/>
          <w:color w:val="auto"/>
          <w:sz w:val="44"/>
          <w:szCs w:val="44"/>
          <w:shd w:val="clear" w:color="auto" w:fill="auto"/>
        </w:rPr>
      </w:pPr>
      <w:bookmarkStart w:id="0" w:name="_Toc11440_WPSOffice_Type2"/>
      <w:r>
        <w:rPr>
          <w:rFonts w:hint="eastAsia" w:ascii="黑体" w:hAnsi="黑体" w:eastAsia="黑体" w:cs="黑体"/>
          <w:color w:val="auto"/>
          <w:sz w:val="44"/>
          <w:szCs w:val="44"/>
          <w:shd w:val="clear" w:color="auto" w:fill="auto"/>
        </w:rPr>
        <w:t>目  录</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_Toc1704_WPSOffice_Level1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第一部分 基本情况</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_Toc20274_WPSOffice_Level2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一、部门（单位）职责</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_Toc4833_WPSOffice_Level2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二、机构设置</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_Toc28253_WPSOffice_Level1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年度部门决算公开表</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_Toc27590_WPSOffice_Level1 </w:instrText>
      </w:r>
      <w:r>
        <w:rPr>
          <w:color w:val="auto"/>
          <w:sz w:val="32"/>
          <w:szCs w:val="32"/>
          <w:shd w:val="clear" w:color="auto" w:fill="auto"/>
        </w:rPr>
        <w:fldChar w:fldCharType="separate"/>
      </w:r>
      <w:r>
        <w:rPr>
          <w:rFonts w:hint="eastAsia" w:ascii="黑体" w:hAnsi="黑体" w:eastAsia="黑体" w:cs="黑体"/>
          <w:color w:val="auto"/>
          <w:sz w:val="32"/>
          <w:szCs w:val="32"/>
          <w:shd w:val="clear" w:color="auto" w:fill="auto"/>
        </w:rPr>
        <w:t>第三部分</w:t>
      </w:r>
      <w:r>
        <w:rPr>
          <w:rFonts w:hint="eastAsia"/>
          <w:color w:val="auto"/>
          <w:sz w:val="32"/>
          <w:szCs w:val="32"/>
          <w:shd w:val="clear" w:color="auto" w:fill="auto"/>
        </w:rPr>
        <w:t xml:space="preserve">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_Toc21737_WPSOffice_Level2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一、收入支出总体情况说明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二、收入决算情况说明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三、支出决算情况说明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四、财政拨款收入支出决算</w:t>
      </w:r>
      <w:r>
        <w:rPr>
          <w:rFonts w:hint="eastAsia" w:ascii="仿宋" w:hAnsi="仿宋" w:eastAsia="仿宋" w:cs="仿宋"/>
          <w:bCs/>
          <w:color w:val="auto"/>
          <w:sz w:val="32"/>
          <w:szCs w:val="32"/>
          <w:shd w:val="clear" w:color="auto" w:fill="auto"/>
          <w:lang w:val="en-US" w:eastAsia="zh-CN"/>
        </w:rPr>
        <w:t>总体</w:t>
      </w:r>
      <w:r>
        <w:rPr>
          <w:rFonts w:hint="eastAsia" w:ascii="仿宋" w:hAnsi="仿宋" w:eastAsia="仿宋" w:cs="仿宋"/>
          <w:bCs/>
          <w:color w:val="auto"/>
          <w:sz w:val="32"/>
          <w:szCs w:val="32"/>
          <w:shd w:val="clear" w:color="auto" w:fill="auto"/>
        </w:rPr>
        <w:t>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五、一般公共预算财政拨款支出决算情况说明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5</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六、一般公共预算财政拨款基本支出决算情况说明</w:t>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政府性基金预算财政拨款支出决算情况说明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国有资本经营预算财政拨款支出决算情况说明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8</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九、财政拨款“三公”经费支出决算情况说明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9</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十、预算绩效情况说明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11</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十一、其他重要事项情况说明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13</w:t>
      </w:r>
    </w:p>
    <w:p>
      <w:pPr>
        <w:pStyle w:val="15"/>
        <w:tabs>
          <w:tab w:val="right" w:leader="dot" w:pos="8306"/>
        </w:tabs>
        <w:spacing w:line="578" w:lineRule="exact"/>
        <w:rPr>
          <w:rFonts w:hint="eastAsia" w:ascii="黑体" w:hAnsi="ˎ̥"/>
          <w:b/>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_Toc15425_WPSOffice_Level1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第四部分  名词解释</w:t>
      </w:r>
      <w:r>
        <w:rPr>
          <w:color w:val="auto"/>
          <w:sz w:val="32"/>
          <w:szCs w:val="32"/>
          <w:shd w:val="clear" w:color="auto" w:fill="auto"/>
        </w:rPr>
        <w:tab/>
      </w:r>
      <w:bookmarkStart w:id="1" w:name="_Toc15425_WPSOffice_Level1Page"/>
      <w:r>
        <w:rPr>
          <w:color w:val="auto"/>
          <w:sz w:val="32"/>
          <w:szCs w:val="32"/>
          <w:shd w:val="clear" w:color="auto" w:fill="auto"/>
        </w:rPr>
        <w:t>1</w:t>
      </w:r>
      <w:bookmarkEnd w:id="1"/>
      <w:r>
        <w:rPr>
          <w:color w:val="auto"/>
          <w:sz w:val="32"/>
          <w:szCs w:val="32"/>
          <w:shd w:val="clear" w:color="auto" w:fill="auto"/>
        </w:rPr>
        <w:fldChar w:fldCharType="end"/>
      </w:r>
      <w:bookmarkEnd w:id="0"/>
      <w:r>
        <w:rPr>
          <w:rFonts w:hint="eastAsia"/>
          <w:color w:val="auto"/>
          <w:sz w:val="32"/>
          <w:szCs w:val="32"/>
          <w:shd w:val="clear" w:color="auto" w:fill="auto"/>
        </w:rPr>
        <w:t>5</w:t>
      </w:r>
    </w:p>
    <w:p>
      <w:pPr>
        <w:spacing w:line="578" w:lineRule="exact"/>
        <w:jc w:val="both"/>
        <w:rPr>
          <w:rFonts w:hint="eastAsia" w:ascii="黑体" w:hAnsi="ˎ̥" w:eastAsia="黑体"/>
          <w:color w:val="auto"/>
          <w:sz w:val="32"/>
          <w:szCs w:val="32"/>
          <w:shd w:val="clear" w:color="auto" w:fill="auto"/>
        </w:rPr>
      </w:pPr>
      <w:bookmarkStart w:id="2" w:name="_Toc10720_WPSOffice_Level1"/>
      <w:bookmarkStart w:id="3" w:name="_Toc10049_WPSOffice_Level1"/>
      <w:bookmarkStart w:id="4" w:name="_Toc32433_WPSOffice_Level1"/>
      <w:bookmarkStart w:id="5" w:name="_Toc1704_WPSOffice_Level1"/>
      <w:bookmarkStart w:id="6" w:name="_Toc22941_WPSOffice_Level1"/>
      <w:bookmarkStart w:id="7" w:name="_Toc23465_WPSOffice_Level1"/>
      <w:bookmarkStart w:id="8" w:name="_Toc14159_WPSOffice_Level2"/>
      <w:bookmarkStart w:id="9" w:name="_Toc26580_WPSOffice_Level2"/>
      <w:bookmarkStart w:id="10" w:name="_Toc32622_WPSOffice_Level2"/>
      <w:bookmarkStart w:id="11" w:name="_Toc20205_WPSOffice_Level2"/>
      <w:bookmarkStart w:id="12" w:name="_Toc20274_WPSOffice_Level2"/>
      <w:bookmarkStart w:id="13" w:name="_Toc24238_WPSOffice_Level2"/>
    </w:p>
    <w:p>
      <w:pPr>
        <w:spacing w:line="578" w:lineRule="exact"/>
        <w:jc w:val="center"/>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 xml:space="preserve">第一部分  </w:t>
      </w:r>
      <w:bookmarkEnd w:id="2"/>
      <w:bookmarkEnd w:id="3"/>
      <w:bookmarkEnd w:id="4"/>
      <w:bookmarkEnd w:id="5"/>
      <w:bookmarkEnd w:id="6"/>
      <w:bookmarkEnd w:id="7"/>
      <w:r>
        <w:rPr>
          <w:rFonts w:hint="eastAsia" w:ascii="黑体" w:hAnsi="ˎ̥" w:eastAsia="黑体"/>
          <w:color w:val="auto"/>
          <w:sz w:val="32"/>
          <w:szCs w:val="32"/>
          <w:shd w:val="clear" w:color="auto" w:fill="auto"/>
        </w:rPr>
        <w:t>基本情况</w:t>
      </w:r>
    </w:p>
    <w:bookmarkEnd w:id="8"/>
    <w:bookmarkEnd w:id="9"/>
    <w:bookmarkEnd w:id="10"/>
    <w:bookmarkEnd w:id="11"/>
    <w:bookmarkEnd w:id="12"/>
    <w:bookmarkEnd w:id="13"/>
    <w:p>
      <w:pPr>
        <w:numPr>
          <w:ilvl w:val="0"/>
          <w:numId w:val="0"/>
        </w:num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lang w:val="en-US" w:eastAsia="zh-CN"/>
        </w:rPr>
        <w:t>一、</w:t>
      </w:r>
      <w:r>
        <w:rPr>
          <w:rFonts w:hint="eastAsia" w:ascii="黑体" w:hAnsi="黑体" w:eastAsia="黑体" w:cs="黑体"/>
          <w:color w:val="auto"/>
          <w:sz w:val="32"/>
          <w:szCs w:val="32"/>
          <w:shd w:val="clear" w:color="auto" w:fill="auto"/>
        </w:rPr>
        <w:t>部门（单位）职责</w:t>
      </w:r>
    </w:p>
    <w:p>
      <w:pPr>
        <w:rPr>
          <w:rFonts w:hint="eastAsia" w:ascii="仿宋" w:hAnsi="仿宋" w:eastAsia="仿宋" w:cs="仿宋"/>
          <w:b/>
          <w:bCs/>
          <w:sz w:val="32"/>
          <w:szCs w:val="32"/>
        </w:rPr>
      </w:pPr>
      <w:bookmarkStart w:id="14" w:name="_Toc17796_WPSOffice_Level2"/>
      <w:bookmarkStart w:id="15" w:name="_Toc24059_WPSOffice_Level2"/>
      <w:bookmarkStart w:id="16" w:name="_Toc6572_WPSOffice_Level2"/>
      <w:bookmarkStart w:id="17" w:name="_Toc4833_WPSOffice_Level2"/>
      <w:bookmarkStart w:id="18" w:name="_Toc24474_WPSOffice_Level2"/>
      <w:r>
        <w:rPr>
          <w:rFonts w:hint="eastAsia" w:ascii="仿宋" w:hAnsi="仿宋" w:eastAsia="仿宋" w:cs="仿宋"/>
          <w:b/>
          <w:bCs/>
          <w:sz w:val="32"/>
          <w:szCs w:val="32"/>
        </w:rPr>
        <w:t>1. 教务处（核心教学管理部门）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统筹全校教学工作，制定教学计划、安排课程表与师资调配。</w:t>
      </w:r>
    </w:p>
    <w:p>
      <w:pPr>
        <w:rPr>
          <w:rFonts w:hint="eastAsia" w:ascii="仿宋" w:hAnsi="仿宋" w:eastAsia="仿宋" w:cs="仿宋"/>
          <w:sz w:val="32"/>
          <w:szCs w:val="32"/>
        </w:rPr>
      </w:pPr>
      <w:r>
        <w:rPr>
          <w:rFonts w:hint="eastAsia" w:ascii="仿宋" w:hAnsi="仿宋" w:eastAsia="仿宋" w:cs="仿宋"/>
          <w:sz w:val="32"/>
          <w:szCs w:val="32"/>
        </w:rPr>
        <w:t>负责学生学籍管理、成绩统计分析，组织期中/期末及各类考试。</w:t>
      </w:r>
    </w:p>
    <w:p>
      <w:pPr>
        <w:rPr>
          <w:rFonts w:hint="eastAsia" w:ascii="仿宋" w:hAnsi="仿宋" w:eastAsia="仿宋" w:cs="仿宋"/>
          <w:sz w:val="32"/>
          <w:szCs w:val="32"/>
        </w:rPr>
      </w:pPr>
      <w:r>
        <w:rPr>
          <w:rFonts w:hint="eastAsia" w:ascii="仿宋" w:hAnsi="仿宋" w:eastAsia="仿宋" w:cs="仿宋"/>
          <w:sz w:val="32"/>
          <w:szCs w:val="32"/>
        </w:rPr>
        <w:t>牵头开展教学研究、教师培训，监督教学质量，推动教学改革 。</w:t>
      </w: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2. 德育处（学生思想与行为管理部门）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主导学生思想政治教育，策划主题班会、德育活动（如爱国主义教育、文明礼仪宣传）。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管理学生日常行为规范，处理学生违纪事件，评选优秀学生/班级。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统筹班主任工作，组织班主任培训，协调家校德育共育 。</w:t>
      </w:r>
    </w:p>
    <w:p>
      <w:pPr>
        <w:rPr>
          <w:rFonts w:hint="eastAsia" w:ascii="仿宋" w:hAnsi="仿宋" w:eastAsia="仿宋" w:cs="仿宋"/>
          <w:sz w:val="32"/>
          <w:szCs w:val="32"/>
        </w:rPr>
      </w:pPr>
      <w:r>
        <w:rPr>
          <w:rFonts w:hint="eastAsia" w:ascii="仿宋" w:hAnsi="仿宋" w:eastAsia="仿宋" w:cs="仿宋"/>
          <w:b/>
          <w:bCs/>
          <w:sz w:val="32"/>
          <w:szCs w:val="32"/>
        </w:rPr>
        <w:t>3. 总务处（后勤保障部门）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负责校园基础设施维护（如教室、实验室设备修缮）、校园环境清洁与绿化。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管理学校财务、物资采购与发放（如教材、办公用品），保障食堂、宿舍正常运营。</w:t>
      </w:r>
    </w:p>
    <w:p>
      <w:pPr>
        <w:rPr>
          <w:rFonts w:hint="eastAsia" w:ascii="仿宋" w:hAnsi="仿宋" w:eastAsia="仿宋" w:cs="仿宋"/>
          <w:sz w:val="32"/>
          <w:szCs w:val="32"/>
        </w:rPr>
      </w:pPr>
      <w:r>
        <w:rPr>
          <w:rFonts w:hint="eastAsia" w:ascii="仿宋" w:hAnsi="仿宋" w:eastAsia="仿宋" w:cs="仿宋"/>
          <w:sz w:val="32"/>
          <w:szCs w:val="32"/>
        </w:rPr>
        <w:t>统筹校园安全后勤工作，如水电供应、消防设施维护等 。</w:t>
      </w:r>
    </w:p>
    <w:p>
      <w:pPr>
        <w:rPr>
          <w:rFonts w:hint="eastAsia" w:ascii="仿宋" w:hAnsi="仿宋" w:eastAsia="仿宋" w:cs="仿宋"/>
          <w:b/>
          <w:bCs/>
          <w:sz w:val="32"/>
          <w:szCs w:val="32"/>
        </w:rPr>
      </w:pPr>
      <w:r>
        <w:rPr>
          <w:rFonts w:hint="eastAsia" w:ascii="仿宋" w:hAnsi="仿宋" w:eastAsia="仿宋" w:cs="仿宋"/>
          <w:b/>
          <w:bCs/>
          <w:sz w:val="32"/>
          <w:szCs w:val="32"/>
        </w:rPr>
        <w:t>4. 办公室（行政综合协调部门）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承担学校行政事务，如文件起草、会议组织、对外接待与沟通。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管理教职工人事档案、考勤统计，协助校领导协调各科室工作。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负责学校宣传工作，如公众号运营、校园新闻发布、活动摄影记录 。</w:t>
      </w: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5. 教科室（教学研究与教师发展部门）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组织开展教研活动（如公开课、课题研究），推动教师专业能力提升。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收集整理教育教学资源，推广先进教学方法与技术（如智慧课堂应用）。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指导教师参与各类教学竞赛、论文发表，助力教师职业成长 。</w:t>
      </w:r>
    </w:p>
    <w:p>
      <w:pPr>
        <w:ind w:firstLine="321" w:firstLineChars="100"/>
        <w:rPr>
          <w:rFonts w:hint="eastAsia" w:ascii="仿宋" w:hAnsi="仿宋" w:eastAsia="仿宋" w:cs="仿宋"/>
          <w:b/>
          <w:bCs/>
          <w:sz w:val="32"/>
          <w:szCs w:val="32"/>
        </w:rPr>
      </w:pPr>
      <w:r>
        <w:rPr>
          <w:rFonts w:hint="eastAsia" w:ascii="仿宋" w:hAnsi="仿宋" w:eastAsia="仿宋" w:cs="仿宋"/>
          <w:b/>
          <w:bCs/>
          <w:sz w:val="32"/>
          <w:szCs w:val="32"/>
        </w:rPr>
        <w:t>6. 团委与学生会（学生自主管理与活动组织部门）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团委：开展共青团工作，发展团员，组织志愿服务、社会实践活动（如社区帮扶、研学旅行）。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学生会：代表学生权益，协助学校管理（如课间秩序维护），策划文体活动（如运动会、文艺汇演） 。</w:t>
      </w:r>
    </w:p>
    <w:p>
      <w:p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色尼区第二（杭嘉）中学</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r>
        <w:rPr>
          <w:rFonts w:hint="eastAsia" w:ascii="仿宋_GB2312" w:hAnsi="ˎ̥" w:eastAsia="仿宋_GB2312"/>
          <w:color w:val="auto"/>
          <w:sz w:val="32"/>
          <w:szCs w:val="32"/>
          <w:lang w:eastAsia="zh-CN"/>
        </w:rPr>
        <w:t>。</w:t>
      </w:r>
    </w:p>
    <w:p>
      <w:pPr>
        <w:numPr>
          <w:ilvl w:val="0"/>
          <w:numId w:val="2"/>
        </w:numPr>
        <w:spacing w:line="578" w:lineRule="exact"/>
        <w:ind w:firstLine="640" w:firstLineChars="200"/>
        <w:rPr>
          <w:rFonts w:hint="eastAsia" w:ascii="仿宋" w:hAnsi="仿宋" w:eastAsia="仿宋" w:cs="仿宋"/>
          <w:color w:val="auto"/>
          <w:sz w:val="32"/>
          <w:szCs w:val="32"/>
        </w:rPr>
      </w:pPr>
      <w:bookmarkStart w:id="19" w:name="_Toc25738_WPSOffice_Level2"/>
      <w:bookmarkStart w:id="20" w:name="_Toc24421_WPSOffice_Level2"/>
      <w:r>
        <w:rPr>
          <w:rFonts w:hint="eastAsia" w:ascii="仿宋" w:hAnsi="仿宋" w:eastAsia="仿宋" w:cs="仿宋"/>
          <w:color w:val="auto"/>
          <w:sz w:val="32"/>
          <w:szCs w:val="32"/>
          <w:lang w:val="en-US" w:eastAsia="zh-CN"/>
        </w:rPr>
        <w:t>色尼区第二（杭嘉）中学</w:t>
      </w:r>
      <w:r>
        <w:rPr>
          <w:rFonts w:hint="eastAsia" w:ascii="仿宋" w:hAnsi="仿宋" w:eastAsia="仿宋" w:cs="仿宋"/>
          <w:color w:val="auto"/>
          <w:sz w:val="32"/>
          <w:szCs w:val="32"/>
        </w:rPr>
        <w:t>部门本级</w:t>
      </w:r>
      <w:bookmarkEnd w:id="19"/>
      <w:bookmarkEnd w:id="20"/>
    </w:p>
    <w:p>
      <w:pPr>
        <w:numPr>
          <w:ilvl w:val="0"/>
          <w:numId w:val="0"/>
        </w:numPr>
        <w:spacing w:line="578" w:lineRule="exact"/>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 xml:space="preserve">统一社会信用代码12542421MB0763390B， </w:t>
      </w:r>
      <w:r>
        <w:rPr>
          <w:rFonts w:hint="eastAsia" w:ascii="仿宋" w:hAnsi="仿宋" w:eastAsia="仿宋" w:cs="仿宋"/>
          <w:color w:val="auto"/>
          <w:sz w:val="32"/>
          <w:szCs w:val="32"/>
        </w:rPr>
        <w:t>单位代码：</w:t>
      </w:r>
      <w:r>
        <w:rPr>
          <w:rFonts w:hint="eastAsia" w:ascii="仿宋" w:hAnsi="仿宋" w:eastAsia="仿宋" w:cs="仿宋"/>
          <w:color w:val="auto"/>
          <w:sz w:val="32"/>
          <w:szCs w:val="32"/>
          <w:lang w:val="en-US" w:eastAsia="zh-CN"/>
        </w:rPr>
        <w:t>014004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单位预算级次：</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单位类型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事业单位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预算级次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县区级</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p>
    <w:p>
      <w:pPr>
        <w:numPr>
          <w:ilvl w:val="0"/>
          <w:numId w:val="0"/>
        </w:numPr>
        <w:spacing w:line="578" w:lineRule="exact"/>
        <w:rPr>
          <w:rFonts w:hint="eastAsia" w:ascii="黑体" w:hAnsi="ˎ̥" w:eastAsia="黑体"/>
          <w:color w:val="auto"/>
          <w:sz w:val="32"/>
          <w:szCs w:val="32"/>
          <w:shd w:val="clear" w:color="auto" w:fill="auto"/>
        </w:rPr>
      </w:pPr>
      <w:bookmarkStart w:id="21" w:name="_Toc28253_WPSOffice_Level1"/>
      <w:bookmarkStart w:id="22" w:name="_Toc15521_WPSOffice_Level1"/>
      <w:bookmarkStart w:id="23" w:name="_Toc8164_WPSOffice_Level1"/>
      <w:bookmarkStart w:id="24" w:name="_Toc30451_WPSOffice_Level1"/>
      <w:bookmarkStart w:id="25" w:name="_Toc6234_WPSOffice_Level1"/>
      <w:bookmarkStart w:id="26" w:name="_Toc30690_WPSOffice_Level1"/>
      <w:bookmarkStart w:id="27" w:name="_Toc32695_WPSOffice_Level2"/>
      <w:bookmarkStart w:id="28" w:name="_Toc11518_WPSOffice_Level2"/>
      <w:bookmarkStart w:id="29" w:name="_Toc4029_WPSOffice_Level2"/>
      <w:bookmarkStart w:id="30" w:name="_Toc32472_WPSOffice_Level2"/>
      <w:bookmarkStart w:id="31" w:name="_Toc6211_WPSOffice_Level2"/>
      <w:bookmarkStart w:id="32" w:name="_Toc8867_WPSOffice_Level2"/>
    </w:p>
    <w:p>
      <w:pPr>
        <w:numPr>
          <w:ilvl w:val="0"/>
          <w:numId w:val="0"/>
        </w:numPr>
        <w:spacing w:line="578" w:lineRule="exact"/>
        <w:ind w:firstLine="1600" w:firstLineChars="500"/>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年度部门决算公开报表</w:t>
      </w:r>
      <w:bookmarkEnd w:id="21"/>
      <w:bookmarkEnd w:id="22"/>
      <w:bookmarkEnd w:id="23"/>
      <w:bookmarkEnd w:id="24"/>
      <w:bookmarkEnd w:id="25"/>
      <w:bookmarkEnd w:id="26"/>
    </w:p>
    <w:p>
      <w:pPr>
        <w:spacing w:line="578" w:lineRule="exact"/>
        <w:ind w:firstLine="640" w:firstLineChars="200"/>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shd w:val="clear" w:color="auto" w:fill="auto"/>
        </w:rPr>
      </w:pPr>
      <w:bookmarkStart w:id="33" w:name="_Toc25608_WPSOffice_Level2"/>
      <w:bookmarkStart w:id="34" w:name="_Toc26621_WPSOffice_Level2"/>
      <w:bookmarkStart w:id="35" w:name="_Toc14349_WPSOffice_Level2"/>
      <w:bookmarkStart w:id="36" w:name="_Toc28622_WPSOffice_Level2"/>
      <w:bookmarkStart w:id="37" w:name="_Toc30334_WPSOffice_Level2"/>
      <w:bookmarkStart w:id="38" w:name="_Toc23139_WPSOffice_Level2"/>
      <w:r>
        <w:rPr>
          <w:rFonts w:hint="eastAsia" w:ascii="黑体" w:hAnsi="黑体" w:eastAsia="黑体" w:cs="黑体"/>
          <w:color w:val="auto"/>
          <w:sz w:val="32"/>
          <w:szCs w:val="32"/>
          <w:shd w:val="clear" w:color="auto" w:fill="auto"/>
        </w:rPr>
        <w:t>二、收入决算公开表</w:t>
      </w:r>
      <w:bookmarkEnd w:id="33"/>
      <w:bookmarkEnd w:id="34"/>
      <w:bookmarkEnd w:id="35"/>
      <w:bookmarkEnd w:id="36"/>
      <w:bookmarkEnd w:id="37"/>
      <w:bookmarkEnd w:id="38"/>
      <w:bookmarkStart w:id="39" w:name="_Toc17626_WPSOffice_Level2"/>
      <w:bookmarkStart w:id="40" w:name="_Toc13854_WPSOffice_Level2"/>
      <w:bookmarkStart w:id="41" w:name="_Toc3262_WPSOffice_Level2"/>
      <w:bookmarkStart w:id="42" w:name="_Toc5489_WPSOffice_Level2"/>
      <w:bookmarkStart w:id="43" w:name="_Toc14658_WPSOffice_Level2"/>
      <w:bookmarkStart w:id="44" w:name="_Toc17858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三、支出决算公开表</w:t>
      </w:r>
      <w:bookmarkEnd w:id="39"/>
      <w:bookmarkEnd w:id="40"/>
      <w:bookmarkEnd w:id="41"/>
      <w:bookmarkEnd w:id="42"/>
      <w:bookmarkEnd w:id="43"/>
      <w:bookmarkEnd w:id="44"/>
      <w:bookmarkStart w:id="45" w:name="_Toc7988_WPSOffice_Level2"/>
      <w:bookmarkStart w:id="46" w:name="_Toc23493_WPSOffice_Level2"/>
      <w:bookmarkStart w:id="47" w:name="_Toc23591_WPSOffice_Level2"/>
      <w:bookmarkStart w:id="48" w:name="_Toc21415_WPSOffice_Level2"/>
      <w:bookmarkStart w:id="49" w:name="_Toc13701_WPSOffice_Level2"/>
      <w:bookmarkStart w:id="50" w:name="_Toc4265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shd w:val="clear" w:color="auto" w:fill="auto"/>
        </w:rPr>
      </w:pPr>
      <w:bookmarkStart w:id="51" w:name="_Toc22783_WPSOffice_Level2"/>
      <w:bookmarkStart w:id="52" w:name="_Toc25166_WPSOffice_Level2"/>
      <w:bookmarkStart w:id="53" w:name="_Toc23829_WPSOffice_Level2"/>
      <w:bookmarkStart w:id="54" w:name="_Toc7879_WPSOffice_Level2"/>
      <w:bookmarkStart w:id="55" w:name="_Toc2158_WPSOffice_Level2"/>
      <w:bookmarkStart w:id="56" w:name="_Toc13516_WPSOffice_Level2"/>
      <w:r>
        <w:rPr>
          <w:rFonts w:hint="eastAsia" w:ascii="黑体" w:hAnsi="黑体" w:eastAsia="黑体" w:cs="黑体"/>
          <w:color w:val="auto"/>
          <w:sz w:val="32"/>
          <w:szCs w:val="32"/>
          <w:shd w:val="clear" w:color="auto" w:fill="auto"/>
        </w:rPr>
        <w:t>五、一般公共预算财政拨款收入支出决算</w:t>
      </w:r>
      <w:bookmarkEnd w:id="51"/>
      <w:bookmarkEnd w:id="52"/>
      <w:bookmarkEnd w:id="53"/>
      <w:bookmarkEnd w:id="54"/>
      <w:r>
        <w:rPr>
          <w:rFonts w:hint="eastAsia" w:ascii="黑体" w:hAnsi="黑体" w:eastAsia="黑体" w:cs="黑体"/>
          <w:color w:val="auto"/>
          <w:sz w:val="32"/>
          <w:szCs w:val="32"/>
          <w:shd w:val="clear" w:color="auto" w:fill="auto"/>
        </w:rPr>
        <w:t>公开表</w:t>
      </w:r>
      <w:bookmarkEnd w:id="55"/>
      <w:bookmarkEnd w:id="56"/>
      <w:bookmarkStart w:id="57" w:name="_Toc17283_WPSOffice_Level2"/>
      <w:bookmarkStart w:id="58" w:name="_Toc17833_WPSOffice_Level2"/>
      <w:bookmarkStart w:id="59" w:name="_Toc25362_WPSOffice_Level2"/>
      <w:bookmarkStart w:id="60" w:name="_Toc5343_WPSOffice_Level2"/>
      <w:bookmarkStart w:id="61" w:name="_Toc8373_WPSOffice_Level2"/>
      <w:bookmarkStart w:id="62" w:name="_Toc2632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bookmarkStart w:id="63" w:name="_Toc11799_WPSOffice_Level2"/>
      <w:bookmarkStart w:id="64" w:name="_Toc13345_WPSOffice_Level2"/>
      <w:bookmarkStart w:id="65" w:name="_Toc5594_WPSOffice_Level2"/>
      <w:bookmarkStart w:id="66" w:name="_Toc1533_WPSOffice_Level2"/>
      <w:bookmarkStart w:id="67" w:name="_Toc21310_WPSOffice_Level2"/>
      <w:bookmarkStart w:id="68" w:name="_Toc6020_WPSOffice_Level2"/>
      <w:r>
        <w:rPr>
          <w:rFonts w:hint="eastAsia" w:ascii="黑体" w:hAnsi="黑体" w:eastAsia="黑体" w:cs="黑体"/>
          <w:color w:val="auto"/>
          <w:sz w:val="32"/>
          <w:szCs w:val="32"/>
          <w:shd w:val="clear" w:color="auto" w:fill="auto"/>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八、国有资本经营预算财政拨款收入支出决算公开表</w:t>
      </w:r>
    </w:p>
    <w:p>
      <w:pPr>
        <w:spacing w:line="578" w:lineRule="exact"/>
        <w:ind w:firstLine="640"/>
        <w:rPr>
          <w:rFonts w:hint="eastAsia" w:ascii="黑体" w:hAnsi="黑体" w:eastAsia="黑体" w:cs="黑体"/>
          <w:color w:val="auto"/>
          <w:sz w:val="32"/>
          <w:szCs w:val="32"/>
          <w:shd w:val="clear" w:color="auto" w:fill="auto"/>
        </w:rPr>
      </w:pPr>
      <w:bookmarkStart w:id="69" w:name="_Toc9377_WPSOffice_Level2"/>
      <w:bookmarkStart w:id="70" w:name="_Toc29886_WPSOffice_Level2"/>
      <w:bookmarkStart w:id="71" w:name="_Toc19961_WPSOffice_Level2"/>
      <w:bookmarkStart w:id="72" w:name="_Toc1820_WPSOffice_Level2"/>
      <w:r>
        <w:rPr>
          <w:rFonts w:hint="eastAsia" w:ascii="黑体" w:hAnsi="黑体" w:eastAsia="黑体" w:cs="黑体"/>
          <w:color w:val="auto"/>
          <w:sz w:val="32"/>
          <w:szCs w:val="32"/>
          <w:shd w:val="clear" w:color="auto" w:fill="auto"/>
        </w:rPr>
        <w:t>九、财政拨款“三公”经费支出决算</w:t>
      </w:r>
      <w:bookmarkEnd w:id="69"/>
      <w:bookmarkEnd w:id="70"/>
      <w:bookmarkEnd w:id="71"/>
      <w:bookmarkEnd w:id="72"/>
      <w:r>
        <w:rPr>
          <w:rFonts w:hint="eastAsia" w:ascii="黑体" w:hAnsi="黑体" w:eastAsia="黑体" w:cs="黑体"/>
          <w:color w:val="auto"/>
          <w:sz w:val="32"/>
          <w:szCs w:val="32"/>
          <w:shd w:val="clear" w:color="auto" w:fill="auto"/>
        </w:rPr>
        <w:t>公开表</w:t>
      </w:r>
    </w:p>
    <w:p>
      <w:pPr>
        <w:spacing w:line="578" w:lineRule="exact"/>
        <w:ind w:firstLine="640"/>
        <w:rPr>
          <w:rFonts w:hint="eastAsia" w:ascii="仿宋" w:hAnsi="仿宋" w:eastAsia="仿宋" w:cs="仿宋"/>
          <w:color w:val="auto"/>
          <w:w w:val="100"/>
          <w:sz w:val="32"/>
          <w:szCs w:val="32"/>
          <w:shd w:val="clear" w:color="auto" w:fill="auto"/>
        </w:rPr>
      </w:pPr>
      <w:r>
        <w:rPr>
          <w:rFonts w:hint="eastAsia" w:ascii="仿宋" w:hAnsi="仿宋" w:eastAsia="仿宋" w:cs="仿宋"/>
          <w:color w:val="auto"/>
          <w:w w:val="100"/>
          <w:sz w:val="32"/>
          <w:szCs w:val="32"/>
          <w:shd w:val="clear" w:color="auto" w:fill="auto"/>
        </w:rPr>
        <w:t xml:space="preserve">以上报表见附件1。   </w:t>
      </w:r>
    </w:p>
    <w:p>
      <w:pPr>
        <w:spacing w:line="578" w:lineRule="exact"/>
        <w:rPr>
          <w:rFonts w:hint="eastAsia" w:ascii="黑体" w:hAnsi="黑体" w:eastAsia="黑体" w:cs="黑体"/>
          <w:color w:val="auto"/>
          <w:sz w:val="32"/>
          <w:szCs w:val="32"/>
          <w:shd w:val="clear" w:color="auto" w:fill="auto"/>
        </w:rPr>
      </w:pPr>
    </w:p>
    <w:p>
      <w:pPr>
        <w:spacing w:line="578" w:lineRule="exact"/>
        <w:jc w:val="center"/>
        <w:rPr>
          <w:rFonts w:hint="eastAsia" w:ascii="黑体" w:hAnsi="ˎ̥" w:eastAsia="黑体"/>
          <w:color w:val="auto"/>
          <w:sz w:val="32"/>
          <w:szCs w:val="32"/>
          <w:shd w:val="clear" w:color="auto" w:fill="auto"/>
        </w:rPr>
      </w:pPr>
      <w:bookmarkStart w:id="73" w:name="_Toc28629_WPSOffice_Level1"/>
      <w:bookmarkStart w:id="74" w:name="_Toc31264_WPSOffice_Level1"/>
      <w:bookmarkStart w:id="75" w:name="_Toc4402_WPSOffice_Level1"/>
      <w:bookmarkStart w:id="76" w:name="_Toc29683_WPSOffice_Level1"/>
      <w:bookmarkStart w:id="77" w:name="_Toc27590_WPSOffice_Level1"/>
      <w:bookmarkStart w:id="78" w:name="_Toc16686_WPSOffice_Level1"/>
      <w:r>
        <w:rPr>
          <w:rFonts w:hint="eastAsia" w:ascii="黑体" w:hAnsi="ˎ̥" w:eastAsia="黑体"/>
          <w:color w:val="auto"/>
          <w:sz w:val="32"/>
          <w:szCs w:val="32"/>
          <w:shd w:val="clear" w:color="auto" w:fill="auto"/>
        </w:rPr>
        <w:t xml:space="preserve">第三部分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一、收入支出总体情况说明</w:t>
      </w:r>
      <w:r>
        <w:rPr>
          <w:rFonts w:hint="eastAsia" w:ascii="黑体" w:hAnsi="黑体" w:eastAsia="黑体" w:cs="黑体"/>
          <w:bCs/>
          <w:color w:val="auto"/>
          <w:sz w:val="32"/>
          <w:szCs w:val="32"/>
          <w:shd w:val="clear" w:color="auto" w:fill="auto"/>
        </w:rPr>
        <w:br w:type="textWrapping"/>
      </w:r>
      <w:r>
        <w:rPr>
          <w:rFonts w:hint="eastAsia" w:ascii="楷体_GB2312" w:hAnsi="ˎ̥" w:eastAsia="楷体_GB2312"/>
          <w:color w:val="auto"/>
          <w:sz w:val="32"/>
          <w:szCs w:val="32"/>
          <w:shd w:val="clear" w:color="auto" w:fill="auto"/>
        </w:rPr>
        <w:t xml:space="preserve">    </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年度收入总计</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万元，支出总计</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万元，与202</w:t>
      </w:r>
      <w:r>
        <w:rPr>
          <w:rFonts w:hint="eastAsia" w:ascii="仿宋_GB2312" w:hAnsi="ˎ̥" w:eastAsia="仿宋_GB2312"/>
          <w:color w:val="auto"/>
          <w:sz w:val="32"/>
          <w:szCs w:val="32"/>
          <w:shd w:val="clear" w:color="auto" w:fill="auto"/>
          <w:lang w:val="en-US" w:eastAsia="zh-CN"/>
        </w:rPr>
        <w:t>3</w:t>
      </w:r>
      <w:r>
        <w:rPr>
          <w:rFonts w:hint="eastAsia" w:ascii="仿宋_GB2312" w:hAnsi="ˎ̥" w:eastAsia="仿宋_GB2312"/>
          <w:color w:val="auto"/>
          <w:sz w:val="32"/>
          <w:szCs w:val="32"/>
          <w:shd w:val="clear" w:color="auto" w:fill="auto"/>
        </w:rPr>
        <w:t>年度相比，收入、支出总计各增加</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收入</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w:t>
      </w:r>
      <w:r>
        <w:rPr>
          <w:rFonts w:ascii="仿宋_GB2312" w:hAnsi="ˎ̥" w:eastAsia="仿宋_GB2312"/>
          <w:color w:val="auto"/>
          <w:sz w:val="32"/>
          <w:szCs w:val="32"/>
          <w:shd w:val="clear" w:color="auto" w:fill="auto"/>
        </w:rPr>
        <w:t>收入</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使用非财政拨款结余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lang w:eastAsia="zh-CN"/>
        </w:rPr>
      </w:pPr>
      <w:r>
        <w:rPr>
          <w:rFonts w:hint="eastAsia" w:ascii="楷体" w:hAnsi="楷体" w:eastAsia="楷体" w:cs="楷体"/>
          <w:color w:val="auto"/>
          <w:sz w:val="32"/>
          <w:szCs w:val="32"/>
          <w:shd w:val="clear" w:color="auto" w:fill="auto"/>
        </w:rPr>
        <w:t>（二</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支出</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结余分配</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主要是无结转资金，较2023年决算数增加0万元，增长0%，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较2023年决算数增加0万元，增长0%，</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年度相关决算数据可取自附件财决公开01、02</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03</w:t>
      </w:r>
      <w:r>
        <w:rPr>
          <w:rFonts w:hint="eastAsia" w:ascii="仿宋_GB2312" w:hAnsi="ˎ̥" w:eastAsia="仿宋_GB2312"/>
          <w:color w:val="auto"/>
          <w:sz w:val="32"/>
          <w:szCs w:val="32"/>
          <w:shd w:val="clear" w:color="auto" w:fill="auto"/>
        </w:rPr>
        <w:t>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年度相关决算数据可取自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年度部门决算报表财决01表《收入支出决算总表》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二、收入决算情况说明</w:t>
      </w:r>
      <w:r>
        <w:rPr>
          <w:rFonts w:hint="eastAsia" w:ascii="黑体" w:hAnsi="黑体" w:eastAsia="黑体" w:cs="黑体"/>
          <w:bCs/>
          <w:color w:val="auto"/>
          <w:sz w:val="32"/>
          <w:szCs w:val="32"/>
          <w:shd w:val="clear" w:color="auto" w:fill="auto"/>
        </w:rPr>
        <w:br w:type="textWrapping"/>
      </w:r>
      <w:r>
        <w:rPr>
          <w:rFonts w:hint="eastAsia" w:ascii="仿宋_GB2312" w:hAnsi="ˎ̥" w:eastAsia="仿宋_GB2312"/>
          <w:color w:val="auto"/>
          <w:sz w:val="32"/>
          <w:szCs w:val="32"/>
          <w:shd w:val="clear" w:color="auto" w:fill="auto"/>
        </w:rPr>
        <w:t xml:space="preserve">    本年收入</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万元，其中：财政拨款收入</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%；上级补助收入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%；事业收入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%；附属单位上缴收入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%；其他收入</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上述各项收入数可取自财决公开02表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万元，其中：基本支出</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%；项目支出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%；上缴上级支出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%；对附属单位补助支出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上述各项支出数可取自财决公开03表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年度财政拨款收入</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万元，支出</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与2023年度相比，财政拨款收入增加</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lang w:val="en-US" w:eastAsia="zh-CN"/>
        </w:rPr>
        <w:t>万元，增长100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财政拨款年初结转结余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highlight w:val="none"/>
          <w:shd w:val="clear" w:color="auto" w:fill="auto"/>
        </w:rPr>
      </w:pPr>
      <w:r>
        <w:rPr>
          <w:rFonts w:hint="eastAsia" w:ascii="仿宋_GB2312" w:hAnsi="ˎ̥" w:eastAsia="仿宋_GB2312"/>
          <w:color w:val="auto"/>
          <w:sz w:val="32"/>
          <w:szCs w:val="32"/>
          <w:shd w:val="clear" w:color="auto" w:fill="auto"/>
        </w:rPr>
        <w:t>财政拨款年末结转结余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highlight w:val="none"/>
          <w:shd w:val="clear" w:color="auto" w:fill="auto"/>
          <w:lang w:val="en-US" w:eastAsia="zh-CN"/>
        </w:rPr>
        <w:t>是无结转资金</w:t>
      </w:r>
      <w:r>
        <w:rPr>
          <w:rFonts w:hint="eastAsia" w:ascii="仿宋_GB2312" w:hAnsi="ˎ̥"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年度决算相关数据可取自财决公开04表。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年度决算相关数据可取自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年度部门决算报表财决01-1表《财政拨款收入支出决算总表》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79" w:name="_Toc21737_WPSOffice_Level2"/>
      <w:bookmarkStart w:id="80" w:name="_Toc9989_WPSOffice_Level2"/>
      <w:bookmarkStart w:id="81" w:name="_Toc19665_WPSOffice_Level2"/>
      <w:bookmarkStart w:id="82" w:name="_Toc17398_WPSOffice_Level2"/>
      <w:bookmarkStart w:id="83" w:name="_Toc23005_WPSOffice_Level2"/>
      <w:bookmarkStart w:id="84" w:name="_Toc13694_WPSOffice_Level2"/>
      <w:r>
        <w:rPr>
          <w:rFonts w:hint="eastAsia" w:ascii="楷体" w:hAnsi="楷体" w:eastAsia="楷体" w:cs="楷体"/>
          <w:color w:val="auto"/>
          <w:sz w:val="32"/>
          <w:szCs w:val="32"/>
          <w:shd w:val="clear" w:color="auto" w:fill="auto"/>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年度相比，一般公共预算财政拨款支出增加</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85" w:name="_Toc19535_WPSOffice_Level2"/>
      <w:bookmarkStart w:id="86" w:name="_Toc18793_WPSOffice_Level2"/>
      <w:bookmarkStart w:id="87" w:name="_Toc2711_WPSOffice_Level2"/>
      <w:bookmarkStart w:id="88" w:name="_Toc23864_WPSOffice_Level2"/>
      <w:bookmarkStart w:id="89" w:name="_Toc19075_WPSOffice_Level2"/>
      <w:bookmarkStart w:id="90" w:name="_Toc27767_WPSOffice_Level2"/>
      <w:r>
        <w:rPr>
          <w:rFonts w:hint="eastAsia" w:ascii="楷体" w:hAnsi="楷体" w:eastAsia="楷体" w:cs="楷体"/>
          <w:color w:val="auto"/>
          <w:sz w:val="32"/>
          <w:szCs w:val="32"/>
          <w:shd w:val="clear" w:color="auto" w:fill="auto"/>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auto"/>
          <w:sz w:val="32"/>
          <w:szCs w:val="32"/>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万元，主要用于以下方面：</w:t>
      </w:r>
      <w:r>
        <w:rPr>
          <w:rFonts w:hint="eastAsia" w:ascii="仿宋_GB2312" w:hAnsi="ˎ̥" w:eastAsia="仿宋_GB2312"/>
          <w:b/>
          <w:color w:val="auto"/>
          <w:sz w:val="32"/>
          <w:szCs w:val="32"/>
        </w:rPr>
        <w:t>一般公共</w:t>
      </w:r>
      <w:r>
        <w:rPr>
          <w:rFonts w:hint="eastAsia" w:ascii="仿宋_GB2312" w:hAnsi="ˎ̥" w:eastAsia="仿宋_GB2312"/>
          <w:b/>
          <w:color w:val="auto"/>
          <w:sz w:val="32"/>
          <w:szCs w:val="32"/>
          <w:lang w:val="en-US" w:eastAsia="zh-CN"/>
        </w:rPr>
        <w:t>教育</w:t>
      </w:r>
      <w:r>
        <w:rPr>
          <w:rFonts w:hint="eastAsia" w:ascii="仿宋_GB2312" w:hAnsi="ˎ̥" w:eastAsia="仿宋_GB2312"/>
          <w:b/>
          <w:color w:val="auto"/>
          <w:sz w:val="32"/>
          <w:szCs w:val="32"/>
        </w:rPr>
        <w:t>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5351.88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82.18</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676.81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10.39</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171.2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2.62</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卫生健康支出312.33</w:t>
      </w:r>
      <w:r>
        <w:rPr>
          <w:rFonts w:hint="eastAsia" w:ascii="仿宋_GB2312" w:hAnsi="ˎ̥" w:eastAsia="仿宋_GB2312"/>
          <w:b w:val="0"/>
          <w:bCs w:val="0"/>
          <w:color w:val="auto"/>
          <w:sz w:val="32"/>
          <w:szCs w:val="32"/>
          <w:lang w:val="en-US" w:eastAsia="zh-CN"/>
        </w:rPr>
        <w:t>万元，占4.79</w:t>
      </w:r>
      <w:r>
        <w:rPr>
          <w:rFonts w:hint="eastAsia" w:ascii="仿宋_GB2312" w:hAnsi="ˎ̥"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91" w:name="_Toc21701_WPSOffice_Level2"/>
      <w:bookmarkStart w:id="92" w:name="_Toc29364_WPSOffice_Level2"/>
      <w:bookmarkStart w:id="93" w:name="_Toc15415_WPSOffice_Level2"/>
      <w:bookmarkStart w:id="94" w:name="_Toc25136_WPSOffice_Level2"/>
      <w:bookmarkStart w:id="95" w:name="_Toc9502_WPSOffice_Level2"/>
      <w:bookmarkStart w:id="96" w:name="_Toc22318_WPSOffice_Level2"/>
      <w:r>
        <w:rPr>
          <w:rFonts w:hint="eastAsia" w:ascii="楷体" w:hAnsi="楷体" w:eastAsia="楷体" w:cs="楷体"/>
          <w:color w:val="auto"/>
          <w:sz w:val="32"/>
          <w:szCs w:val="32"/>
          <w:shd w:val="clear" w:color="auto" w:fill="auto"/>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年度一般公共预算财政拨款支出年初预算为</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lang w:val="en-US"/>
        </w:rPr>
        <w:t>6512.22</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%。其中：</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rPr>
        <w:t>一般公共</w:t>
      </w:r>
      <w:r>
        <w:rPr>
          <w:rFonts w:hint="eastAsia" w:ascii="仿宋_GB2312" w:hAnsi="ˎ̥" w:eastAsia="仿宋_GB2312"/>
          <w:b/>
          <w:color w:val="auto"/>
          <w:sz w:val="32"/>
          <w:szCs w:val="32"/>
          <w:shd w:val="clear" w:color="auto" w:fill="auto"/>
          <w:lang w:val="en-US" w:eastAsia="zh-CN"/>
        </w:rPr>
        <w:t>教育</w:t>
      </w:r>
      <w:r>
        <w:rPr>
          <w:rFonts w:hint="eastAsia" w:ascii="仿宋_GB2312" w:hAnsi="ˎ̥" w:eastAsia="仿宋_GB2312"/>
          <w:b/>
          <w:color w:val="auto"/>
          <w:sz w:val="32"/>
          <w:szCs w:val="32"/>
          <w:shd w:val="clear" w:color="auto" w:fill="auto"/>
        </w:rPr>
        <w:t>服务（类）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lang w:val="en-US" w:eastAsia="zh-CN"/>
        </w:rPr>
        <w:t>年初预算为5351.88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决算支出为5351.88万元，完成年初预算的100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lang w:val="en-US" w:eastAsia="zh-CN"/>
        </w:rPr>
        <w:t>2.</w:t>
      </w:r>
      <w:r>
        <w:rPr>
          <w:rFonts w:hint="eastAsia" w:ascii="仿宋_GB2312" w:hAnsi="ˎ̥" w:eastAsia="仿宋_GB2312"/>
          <w:b/>
          <w:color w:val="auto"/>
          <w:sz w:val="32"/>
          <w:szCs w:val="32"/>
          <w:shd w:val="clear" w:color="auto" w:fill="auto"/>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lang w:val="en-US" w:eastAsia="zh-CN"/>
        </w:rPr>
        <w:t>初预算为676.81</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决算支出为676.81万元，完成年初预算的100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rPr>
      </w:pPr>
      <w:r>
        <w:rPr>
          <w:rFonts w:hint="eastAsia" w:ascii="仿宋_GB2312" w:hAnsi="ˎ̥" w:eastAsia="仿宋_GB2312"/>
          <w:b/>
          <w:bCs/>
          <w:color w:val="auto"/>
          <w:sz w:val="32"/>
          <w:szCs w:val="32"/>
          <w:shd w:val="clear" w:color="auto" w:fill="auto"/>
          <w:lang w:val="en-US" w:eastAsia="zh-CN"/>
        </w:rPr>
        <w:t>3.</w:t>
      </w:r>
      <w:r>
        <w:rPr>
          <w:rFonts w:hint="eastAsia" w:ascii="仿宋_GB2312" w:hAnsi="ˎ̥" w:eastAsia="仿宋_GB2312"/>
          <w:b/>
          <w:bCs/>
          <w:color w:val="auto"/>
          <w:sz w:val="32"/>
          <w:szCs w:val="32"/>
          <w:shd w:val="clear" w:color="auto" w:fill="auto"/>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lang w:val="en-US" w:eastAsia="zh-CN"/>
        </w:rPr>
        <w:t>年初预算为171.2</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决算支出为171.2</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完成年初预算的100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lang w:val="en-US" w:eastAsia="zh-CN"/>
        </w:rPr>
      </w:pPr>
      <w:r>
        <w:rPr>
          <w:rFonts w:hint="eastAsia" w:ascii="仿宋_GB2312" w:hAnsi="ˎ̥" w:eastAsia="仿宋_GB2312"/>
          <w:b/>
          <w:bCs/>
          <w:color w:val="auto"/>
          <w:sz w:val="32"/>
          <w:szCs w:val="32"/>
          <w:shd w:val="clear" w:color="auto" w:fill="auto"/>
          <w:lang w:val="en-US" w:eastAsia="zh-CN"/>
        </w:rPr>
        <w:t>4.卫生健康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lang w:val="en-US" w:eastAsia="zh-CN"/>
        </w:rPr>
        <w:t>年初预算为</w:t>
      </w:r>
      <w:r>
        <w:rPr>
          <w:rFonts w:hint="eastAsia" w:ascii="仿宋_GB2312" w:hAnsi="ˎ̥" w:eastAsia="仿宋_GB2312"/>
          <w:b/>
          <w:bCs/>
          <w:color w:val="auto"/>
          <w:sz w:val="32"/>
          <w:szCs w:val="32"/>
          <w:lang w:val="en-US" w:eastAsia="zh-CN"/>
        </w:rPr>
        <w:t>312.33</w:t>
      </w:r>
      <w:r>
        <w:rPr>
          <w:rFonts w:hint="eastAsia" w:ascii="仿宋_GB2312" w:hAnsi="ˎ̥" w:eastAsia="仿宋_GB2312"/>
          <w:b w:val="0"/>
          <w:bCs w:val="0"/>
          <w:color w:val="auto"/>
          <w:sz w:val="32"/>
          <w:szCs w:val="32"/>
          <w:lang w:val="en-US" w:eastAsia="zh-CN"/>
        </w:rPr>
        <w:t>万元，</w:t>
      </w:r>
      <w:r>
        <w:rPr>
          <w:rFonts w:hint="eastAsia" w:ascii="仿宋_GB2312" w:hAnsi="ˎ̥" w:eastAsia="仿宋_GB2312"/>
          <w:color w:val="auto"/>
          <w:sz w:val="32"/>
          <w:szCs w:val="32"/>
          <w:lang w:val="en-US" w:eastAsia="zh-CN"/>
        </w:rPr>
        <w:t>决算支出为</w:t>
      </w:r>
      <w:r>
        <w:rPr>
          <w:rFonts w:hint="eastAsia" w:ascii="仿宋_GB2312" w:hAnsi="ˎ̥" w:eastAsia="仿宋_GB2312"/>
          <w:b/>
          <w:bCs/>
          <w:color w:val="auto"/>
          <w:sz w:val="32"/>
          <w:szCs w:val="32"/>
          <w:lang w:val="en-US" w:eastAsia="zh-CN"/>
        </w:rPr>
        <w:t>312.33</w:t>
      </w:r>
      <w:r>
        <w:rPr>
          <w:rFonts w:hint="eastAsia" w:ascii="仿宋_GB2312" w:hAnsi="ˎ̥" w:eastAsia="仿宋_GB2312"/>
          <w:b w:val="0"/>
          <w:bCs w:val="0"/>
          <w:color w:val="auto"/>
          <w:sz w:val="32"/>
          <w:szCs w:val="32"/>
          <w:lang w:val="en-US" w:eastAsia="zh-CN"/>
        </w:rPr>
        <w:t>万元，</w:t>
      </w:r>
      <w:r>
        <w:rPr>
          <w:rFonts w:hint="eastAsia" w:ascii="仿宋_GB2312" w:hAnsi="ˎ̥" w:eastAsia="仿宋_GB2312"/>
          <w:color w:val="auto"/>
          <w:sz w:val="32"/>
          <w:szCs w:val="32"/>
          <w:lang w:val="en-US" w:eastAsia="zh-CN"/>
        </w:rPr>
        <w:t>完成年初预算的100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本部分支出决算数可取自财决公开05表，年初预算数可取自各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单位年初预算大本，根据实际支出涉及的支出功能分类项级科目填列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shd w:val="clear" w:color="auto" w:fill="auto"/>
        </w:rPr>
      </w:pPr>
      <w:r>
        <w:rPr>
          <w:rFonts w:hint="eastAsia" w:ascii="黑体" w:hAnsi="黑体" w:eastAsia="黑体" w:cs="黑体"/>
          <w:bCs/>
          <w:color w:val="auto"/>
          <w:sz w:val="32"/>
          <w:szCs w:val="32"/>
          <w:shd w:val="clear" w:color="auto" w:fill="auto"/>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年度财政拨款基本支出</w:t>
      </w:r>
      <w:r>
        <w:rPr>
          <w:rFonts w:hint="eastAsia"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万元，其中：人员经费</w:t>
      </w:r>
      <w:r>
        <w:rPr>
          <w:rFonts w:ascii="仿宋_GB2312" w:hAnsi="ˎ̥" w:eastAsia="仿宋_GB2312"/>
          <w:color w:val="auto"/>
          <w:sz w:val="32"/>
          <w:szCs w:val="32"/>
          <w:lang w:val="en-US"/>
        </w:rPr>
        <w:t>6170.35</w:t>
      </w:r>
      <w:r>
        <w:rPr>
          <w:rFonts w:hint="eastAsia" w:ascii="仿宋_GB2312" w:hAnsi="ˎ̥" w:eastAsia="仿宋_GB2312"/>
          <w:color w:val="auto"/>
          <w:sz w:val="32"/>
          <w:szCs w:val="32"/>
          <w:shd w:val="clear" w:color="auto" w:fill="auto"/>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341.88</w:t>
      </w:r>
      <w:r>
        <w:rPr>
          <w:rFonts w:hint="eastAsia" w:ascii="仿宋_GB2312" w:hAnsi="ˎ̥" w:eastAsia="仿宋_GB2312"/>
          <w:color w:val="auto"/>
          <w:sz w:val="32"/>
          <w:szCs w:val="32"/>
          <w:shd w:val="clear" w:color="auto" w:fill="auto"/>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shd w:val="clear" w:color="auto" w:fill="auto"/>
          <w:lang w:val="en-US" w:eastAsia="zh-CN"/>
        </w:rPr>
        <w:t>购</w:t>
      </w:r>
      <w:r>
        <w:rPr>
          <w:rFonts w:hint="eastAsia" w:ascii="仿宋_GB2312" w:hAnsi="ˎ̥" w:eastAsia="仿宋_GB2312"/>
          <w:color w:val="auto"/>
          <w:sz w:val="32"/>
          <w:szCs w:val="32"/>
          <w:shd w:val="clear" w:color="auto" w:fill="auto"/>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可取自财决公开06表，各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年度相比，政府性基金预算财政拨款支出增加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%。决算数大于预算数的主要原因：一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决算相关数据取自财决公开07表；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lang w:val="en-US" w:eastAsia="zh-CN"/>
        </w:rPr>
        <w:t>年度部门决算报表</w:t>
      </w:r>
      <w:r>
        <w:rPr>
          <w:rFonts w:hint="eastAsia" w:ascii="仿宋_GB2312" w:hAnsi="ˎ̥" w:eastAsia="仿宋_GB2312"/>
          <w:color w:val="auto"/>
          <w:sz w:val="32"/>
          <w:szCs w:val="32"/>
          <w:shd w:val="clear" w:color="auto" w:fill="auto"/>
        </w:rPr>
        <w:t>财决09表《政府性基金预算财政拨款收入支出决算表》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年度相比，国有资本经营预算财政拨款支出增加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color w:val="auto"/>
          <w:sz w:val="32"/>
          <w:szCs w:val="32"/>
          <w:shd w:val="clear" w:color="auto" w:fill="auto"/>
        </w:rPr>
        <w:t>1.</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%。决算数大于（小于）预算数的主要原因：</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决算相关数据取自财决公开08表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shd w:val="clear" w:color="auto" w:fill="auto"/>
        </w:rPr>
      </w:pPr>
      <w:r>
        <w:rPr>
          <w:rFonts w:hint="eastAsia" w:ascii="黑体" w:hAnsi="黑体" w:eastAsia="黑体" w:cs="黑体"/>
          <w:bCs/>
          <w:color w:val="auto"/>
          <w:sz w:val="32"/>
          <w:szCs w:val="32"/>
          <w:shd w:val="clear" w:color="auto" w:fill="auto"/>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年度财政拨款“三公”经费支出预算为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“三公”经费支出增加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shd w:val="clear" w:color="auto" w:fill="auto"/>
        </w:rPr>
      </w:pPr>
      <w:r>
        <w:rPr>
          <w:rFonts w:hint="eastAsia" w:ascii="仿宋_GB2312" w:hAnsi="ˎ̥" w:eastAsia="仿宋_GB2312"/>
          <w:b/>
          <w:color w:val="auto"/>
          <w:sz w:val="32"/>
          <w:szCs w:val="32"/>
          <w:shd w:val="clear" w:color="auto" w:fill="auto"/>
        </w:rPr>
        <w:t xml:space="preserve">  </w:t>
      </w:r>
      <w:r>
        <w:rPr>
          <w:rFonts w:hint="eastAsia" w:ascii="楷体" w:hAnsi="楷体" w:eastAsia="楷体" w:cs="楷体"/>
          <w:color w:val="auto"/>
          <w:sz w:val="32"/>
          <w:szCs w:val="32"/>
          <w:shd w:val="clear" w:color="auto" w:fill="auto"/>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年度财政拨款“三公”经费支出决算中，因公出国（境）费支出决算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%；公务用车购置及运行维护费支出决算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%；公务接待费支出决算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1.因公出国（境）费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万元。全年安排因公出国（境）团组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个，因公出国（境）</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因公出国（境）费支出决算</w:t>
      </w:r>
      <w:r>
        <w:rPr>
          <w:rFonts w:hint="eastAsia" w:ascii="仿宋_GB2312" w:hAnsi="ˎ̥" w:eastAsia="仿宋_GB2312"/>
          <w:color w:val="auto"/>
          <w:sz w:val="32"/>
          <w:szCs w:val="32"/>
          <w:shd w:val="clear" w:color="auto" w:fill="auto"/>
          <w:lang w:val="en-US" w:eastAsia="zh-CN"/>
        </w:rPr>
        <w:t>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default"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因公出国（境）费支出增加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2.公务用车购置及运行维护费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公务用车购置</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万元，全年购置公务用车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年末公务用车保有量</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公务用车运行维护费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公务用车购置及运行维护费支出决算数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公务用车购置及运行维护费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3.公务接待费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国内接待费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万元，国内公务接待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bCs/>
          <w:color w:val="auto"/>
          <w:sz w:val="32"/>
          <w:szCs w:val="32"/>
          <w:shd w:val="clear" w:color="auto" w:fill="auto"/>
        </w:rPr>
        <w:t>国（境）外接待费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万元，国（境）外公务接待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公务接待费支出决算数比预算数增加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公务接待费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w:t>
      </w:r>
      <w:r>
        <w:rPr>
          <w:rFonts w:ascii="仿宋_GB2312" w:hAnsi="ˎ̥" w:eastAsia="仿宋_GB2312"/>
          <w:color w:val="auto"/>
          <w:sz w:val="32"/>
          <w:szCs w:val="32"/>
          <w:shd w:val="clear" w:color="auto" w:fill="auto"/>
        </w:rPr>
        <w:t>数据</w:t>
      </w:r>
      <w:r>
        <w:rPr>
          <w:rFonts w:hint="eastAsia" w:ascii="仿宋_GB2312" w:hAnsi="ˎ̥" w:eastAsia="仿宋_GB2312"/>
          <w:color w:val="auto"/>
          <w:sz w:val="32"/>
          <w:szCs w:val="32"/>
          <w:shd w:val="clear" w:color="auto" w:fill="auto"/>
        </w:rPr>
        <w:t>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部门决算报表</w:t>
      </w:r>
      <w:r>
        <w:rPr>
          <w:rFonts w:hint="eastAsia" w:ascii="仿宋_GB2312" w:hAnsi="ˎ̥" w:eastAsia="仿宋_GB2312"/>
          <w:color w:val="auto"/>
          <w:sz w:val="32"/>
          <w:szCs w:val="32"/>
          <w:shd w:val="clear" w:color="auto" w:fill="auto"/>
        </w:rPr>
        <w:t>F03表《机构</w:t>
      </w:r>
      <w:r>
        <w:rPr>
          <w:rFonts w:ascii="仿宋_GB2312" w:hAnsi="ˎ̥" w:eastAsia="仿宋_GB2312"/>
          <w:color w:val="auto"/>
          <w:sz w:val="32"/>
          <w:szCs w:val="32"/>
          <w:shd w:val="clear" w:color="auto" w:fill="auto"/>
        </w:rPr>
        <w:t>运行信息表》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根据财政预算绩效管理要求，可按照如下格式说明：根据预算管理要求，我部门（单位）组织对</w:t>
      </w:r>
      <w:r>
        <w:rPr>
          <w:rFonts w:hint="default" w:ascii="仿宋_GB2312" w:eastAsia="仿宋_GB2312"/>
          <w:color w:val="auto"/>
          <w:sz w:val="32"/>
          <w:szCs w:val="32"/>
          <w:shd w:val="clear" w:color="auto" w:fill="auto"/>
          <w:lang w:val="en-US"/>
        </w:rPr>
        <w:t>2024</w:t>
      </w:r>
      <w:r>
        <w:rPr>
          <w:rFonts w:hint="eastAsia" w:ascii="仿宋_GB2312" w:eastAsia="仿宋_GB2312"/>
          <w:color w:val="auto"/>
          <w:sz w:val="32"/>
          <w:szCs w:val="32"/>
          <w:shd w:val="clear" w:color="auto" w:fill="auto"/>
        </w:rPr>
        <w:t>年度一般公共预算项目支出全面开展绩效自评</w:t>
      </w:r>
      <w:r>
        <w:rPr>
          <w:rFonts w:hint="default" w:ascii="仿宋_GB2312" w:eastAsia="仿宋_GB2312"/>
          <w:color w:val="auto"/>
          <w:sz w:val="32"/>
          <w:szCs w:val="32"/>
          <w:shd w:val="clear" w:color="auto" w:fill="auto"/>
          <w:lang w:val="en-US"/>
        </w:rPr>
        <w:t>,</w:t>
      </w:r>
      <w:r>
        <w:rPr>
          <w:rFonts w:hint="eastAsia" w:ascii="仿宋_GB2312" w:eastAsia="仿宋_GB2312"/>
          <w:color w:val="auto"/>
          <w:sz w:val="32"/>
          <w:szCs w:val="32"/>
          <w:shd w:val="clear" w:color="auto" w:fill="auto"/>
          <w:lang w:val="en-US" w:eastAsia="zh-CN"/>
        </w:rPr>
        <w:t>共涉及资金0万元，占一般公共预算项目支出总额的0%</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个政府性基金预算项目开展绩效自评，共涉及资金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万元，占政府性基金预算项目支出总额的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个国有资本经营预算项目开展绩效自评，共涉及资金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万元，占国有资本经营预算项目支出总额的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共组织对“</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”等</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个项目开展了部门评价，</w:t>
      </w:r>
      <w:r>
        <w:rPr>
          <w:rFonts w:hint="eastAsia" w:ascii="仿宋_GB2312" w:eastAsia="仿宋_GB2312"/>
          <w:color w:val="auto"/>
          <w:sz w:val="32"/>
          <w:szCs w:val="32"/>
          <w:shd w:val="clear" w:color="auto" w:fill="auto"/>
          <w:lang w:bidi="ar"/>
        </w:rPr>
        <w:t>涉及一般公共预算支出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万元，政府性基金预算支出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万元，国有资本经营预算支出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w:t>
      </w:r>
      <w:r>
        <w:rPr>
          <w:rFonts w:hint="eastAsia" w:ascii="仿宋_GB2312" w:eastAsia="仿宋_GB2312"/>
          <w:color w:val="auto"/>
          <w:sz w:val="32"/>
          <w:szCs w:val="32"/>
          <w:shd w:val="clear" w:color="auto" w:fill="auto"/>
        </w:rPr>
        <w:t>从评价情况来看，</w:t>
      </w:r>
      <w:r>
        <w:rPr>
          <w:rFonts w:hint="eastAsia" w:ascii="仿宋_GB2312" w:eastAsia="仿宋_GB2312"/>
          <w:color w:val="auto"/>
          <w:sz w:val="32"/>
          <w:szCs w:val="32"/>
          <w:shd w:val="clear" w:color="auto" w:fill="auto"/>
          <w:lang w:val="en-US" w:eastAsia="zh-CN"/>
        </w:rPr>
        <w:t>未开展此项工作，具体原因：一是</w:t>
      </w:r>
      <w:r>
        <w:rPr>
          <w:rFonts w:hint="eastAsia" w:ascii="仿宋_GB2312" w:hAnsi="ˎ̥" w:eastAsia="仿宋_GB2312"/>
          <w:color w:val="auto"/>
          <w:sz w:val="32"/>
          <w:szCs w:val="32"/>
          <w:shd w:val="clear" w:color="auto" w:fill="auto"/>
          <w:lang w:val="en-US" w:eastAsia="zh-CN"/>
        </w:rPr>
        <w:t>本单位为2024年新增单位，未开展此项工作。</w:t>
      </w:r>
      <w:r>
        <w:rPr>
          <w:rFonts w:hint="eastAsia" w:ascii="仿宋_GB2312" w:eastAsia="仿宋_GB2312"/>
          <w:color w:val="auto"/>
          <w:sz w:val="32"/>
          <w:szCs w:val="32"/>
          <w:shd w:val="clear" w:color="auto" w:fill="auto"/>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参照如下格式说明（表述应与决算内容保持一致）：我部门（单位）在部门决算中反映</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rPr>
        <w:t>项目绩效自评表：</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可作为附件附后</w:t>
      </w:r>
      <w:r>
        <w:rPr>
          <w:rFonts w:hint="eastAsia" w:ascii="仿宋_GB2312"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eastAsia="仿宋_GB2312"/>
          <w:color w:val="auto"/>
          <w:sz w:val="32"/>
          <w:szCs w:val="32"/>
          <w:shd w:val="clear" w:color="auto" w:fill="auto"/>
        </w:rPr>
        <w:t>项目绩效自评报告：根据年初设定的绩效目标，项目绩效自评得分</w:t>
      </w:r>
      <w:r>
        <w:rPr>
          <w:rFonts w:hint="eastAsia" w:ascii="仿宋_GB2312" w:eastAsia="仿宋_GB2312"/>
          <w:color w:val="auto"/>
          <w:sz w:val="32"/>
          <w:szCs w:val="32"/>
          <w:shd w:val="clear" w:color="auto" w:fill="auto"/>
          <w:lang w:val="en-US" w:eastAsia="zh-CN"/>
        </w:rPr>
        <w:t>为0</w:t>
      </w:r>
      <w:r>
        <w:rPr>
          <w:rFonts w:hint="eastAsia" w:ascii="仿宋_GB2312" w:eastAsia="仿宋_GB2312"/>
          <w:color w:val="auto"/>
          <w:sz w:val="32"/>
          <w:szCs w:val="32"/>
          <w:shd w:val="clear" w:color="auto" w:fill="auto"/>
        </w:rPr>
        <w:t>分。全年预算数为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万元，执行数为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万元，完成预算的</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%。项目绩效目标完成情况：</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是本单位为2024年新增单位，未开展此项工作</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bidi="ar"/>
        </w:rPr>
      </w:pPr>
      <w:r>
        <w:rPr>
          <w:rFonts w:hint="eastAsia" w:ascii="仿宋_GB2312" w:hAnsi="仿宋_GB2312" w:eastAsia="仿宋_GB2312" w:cs="仿宋_GB2312"/>
          <w:color w:val="auto"/>
          <w:kern w:val="0"/>
          <w:sz w:val="32"/>
          <w:szCs w:val="32"/>
          <w:shd w:val="clear" w:color="auto" w:fill="auto"/>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97" w:name="_Toc5978_WPSOffice_Level2"/>
      <w:bookmarkStart w:id="98" w:name="_Toc18325_WPSOffice_Level2"/>
      <w:bookmarkStart w:id="99" w:name="_Toc15262_WPSOffice_Level2"/>
      <w:bookmarkStart w:id="100" w:name="_Toc23598_WPSOffice_Level2"/>
      <w:bookmarkStart w:id="101" w:name="_Toc15565_WPSOffice_Level2"/>
      <w:bookmarkStart w:id="102" w:name="_Toc32639_WPSOffice_Level2"/>
      <w:r>
        <w:rPr>
          <w:rFonts w:hint="eastAsia" w:ascii="楷体" w:hAnsi="楷体" w:eastAsia="楷体" w:cs="楷体"/>
          <w:bCs/>
          <w:color w:val="auto"/>
          <w:sz w:val="32"/>
          <w:szCs w:val="32"/>
          <w:shd w:val="clear" w:color="auto" w:fill="auto"/>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色尼区第二（杭嘉）中学</w:t>
      </w:r>
      <w:r>
        <w:rPr>
          <w:rFonts w:hint="eastAsia" w:ascii="仿宋_GB2312" w:hAnsi="ˎ̥" w:eastAsia="仿宋_GB2312"/>
          <w:color w:val="auto"/>
          <w:sz w:val="32"/>
          <w:szCs w:val="32"/>
          <w:shd w:val="clear" w:color="auto" w:fill="auto"/>
        </w:rPr>
        <w:t>部门（单位）机关运行经费</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与2023年度相比，机关运行经费</w:t>
      </w:r>
      <w:r>
        <w:rPr>
          <w:rFonts w:hint="eastAsia" w:ascii="仿宋_GB2312" w:hAnsi="ˎ̥" w:eastAsia="仿宋_GB2312"/>
          <w:color w:val="auto"/>
          <w:sz w:val="32"/>
          <w:szCs w:val="32"/>
          <w:shd w:val="clear" w:color="auto" w:fill="auto"/>
        </w:rPr>
        <w:t>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增长0%。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3" w:name="_Toc23966_WPSOffice_Level2"/>
      <w:bookmarkStart w:id="104" w:name="_Toc25333_WPSOffice_Level2"/>
      <w:bookmarkStart w:id="105" w:name="_Toc32689_WPSOffice_Level2"/>
      <w:bookmarkStart w:id="106" w:name="_Toc3131_WPSOffice_Level2"/>
      <w:bookmarkStart w:id="107" w:name="_Toc30383_WPSOffice_Level2"/>
      <w:bookmarkStart w:id="108" w:name="_Toc13084_WPSOffice_Level2"/>
      <w:r>
        <w:rPr>
          <w:rFonts w:hint="eastAsia" w:ascii="楷体" w:hAnsi="楷体" w:eastAsia="楷体" w:cs="楷体"/>
          <w:bCs/>
          <w:color w:val="auto"/>
          <w:sz w:val="32"/>
          <w:szCs w:val="32"/>
          <w:shd w:val="clear" w:color="auto" w:fill="auto"/>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色尼区第二（杭嘉）中学</w:t>
      </w:r>
      <w:r>
        <w:rPr>
          <w:rFonts w:hint="eastAsia" w:ascii="仿宋_GB2312" w:hAnsi="ˎ̥" w:eastAsia="仿宋_GB2312"/>
          <w:color w:val="auto"/>
          <w:sz w:val="32"/>
          <w:szCs w:val="32"/>
          <w:shd w:val="clear" w:color="auto" w:fill="auto"/>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shd w:val="clear" w:color="auto" w:fill="auto"/>
        </w:rPr>
        <w:t>万元，其中：政府采购货物支出</w:t>
      </w:r>
      <w:r>
        <w:rPr>
          <w:rFonts w:hint="eastAsia" w:ascii="仿宋_GB2312" w:hAnsi="ˎ̥" w:eastAsia="仿宋_GB2312"/>
          <w:color w:val="auto"/>
          <w:sz w:val="32"/>
          <w:szCs w:val="32"/>
          <w:lang w:val="en-US" w:eastAsia="zh-CN"/>
        </w:rPr>
        <w:t>0</w:t>
      </w:r>
      <w:bookmarkStart w:id="121" w:name="_GoBack"/>
      <w:bookmarkEnd w:id="121"/>
      <w:r>
        <w:rPr>
          <w:rFonts w:hint="eastAsia" w:ascii="仿宋_GB2312" w:hAnsi="ˎ̥" w:eastAsia="仿宋_GB2312"/>
          <w:color w:val="auto"/>
          <w:sz w:val="32"/>
          <w:szCs w:val="32"/>
          <w:shd w:val="clear" w:color="auto" w:fill="auto"/>
        </w:rPr>
        <w:t>万元、政府采购工程支出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万元、政府采购服务支出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万元。授予中小企业合同金额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万元，占政府采购支出总额的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%，其中：授予小微企业合同金额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仿宋_GB2312" w:eastAsia="仿宋_GB2312" w:cs="仿宋_GB2312"/>
          <w:color w:val="auto"/>
          <w:kern w:val="0"/>
          <w:sz w:val="32"/>
          <w:szCs w:val="32"/>
          <w:shd w:val="clear" w:color="auto" w:fill="auto"/>
          <w:lang w:bidi="ar"/>
        </w:rPr>
        <w:t>授予中小企业合同金额</w:t>
      </w:r>
      <w:r>
        <w:rPr>
          <w:rFonts w:hint="eastAsia" w:ascii="仿宋_GB2312" w:hAnsi="仿宋_GB2312" w:eastAsia="仿宋_GB2312" w:cs="仿宋_GB2312"/>
          <w:color w:val="auto"/>
          <w:sz w:val="32"/>
          <w:szCs w:val="32"/>
          <w:shd w:val="clear" w:color="auto" w:fill="auto"/>
        </w:rPr>
        <w:t>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上述政府采购支出相关</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9" w:name="_Toc15129_WPSOffice_Level2"/>
      <w:bookmarkStart w:id="110" w:name="_Toc19989_WPSOffice_Level2"/>
      <w:bookmarkStart w:id="111" w:name="_Toc10902_WPSOffice_Level2"/>
      <w:bookmarkStart w:id="112" w:name="_Toc527_WPSOffice_Level2"/>
      <w:bookmarkStart w:id="113" w:name="_Toc29584_WPSOffice_Level2"/>
      <w:bookmarkStart w:id="114" w:name="_Toc6016_WPSOffice_Level2"/>
      <w:r>
        <w:rPr>
          <w:rFonts w:hint="eastAsia" w:ascii="楷体" w:hAnsi="楷体" w:eastAsia="楷体" w:cs="楷体"/>
          <w:bCs/>
          <w:color w:val="auto"/>
          <w:sz w:val="32"/>
          <w:szCs w:val="32"/>
          <w:shd w:val="clear" w:color="auto" w:fill="auto"/>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截至</w:t>
      </w:r>
      <w:r>
        <w:rPr>
          <w:rFonts w:hint="default" w:ascii="仿宋_GB2312" w:hAnsi="ˎ̥" w:eastAsia="仿宋_GB2312"/>
          <w:bCs/>
          <w:color w:val="auto"/>
          <w:sz w:val="32"/>
          <w:szCs w:val="32"/>
          <w:shd w:val="clear" w:color="auto" w:fill="auto"/>
          <w:lang w:val="en-US"/>
        </w:rPr>
        <w:t>2024</w:t>
      </w:r>
      <w:r>
        <w:rPr>
          <w:rFonts w:hint="eastAsia" w:ascii="仿宋_GB2312" w:hAnsi="ˎ̥" w:eastAsia="仿宋_GB2312"/>
          <w:bCs/>
          <w:color w:val="auto"/>
          <w:sz w:val="32"/>
          <w:szCs w:val="32"/>
          <w:shd w:val="clear" w:color="auto" w:fill="auto"/>
        </w:rPr>
        <w:t>年12月31日，本部门拥有</w:t>
      </w:r>
      <w:r>
        <w:rPr>
          <w:rFonts w:hint="eastAsia" w:ascii="仿宋_GB2312" w:hAnsi="ˎ̥" w:eastAsia="仿宋_GB2312"/>
          <w:color w:val="auto"/>
          <w:sz w:val="32"/>
          <w:szCs w:val="32"/>
          <w:shd w:val="clear" w:color="auto" w:fill="auto"/>
        </w:rPr>
        <w:t>房屋面积</w:t>
      </w:r>
      <w:r>
        <w:rPr>
          <w:rFonts w:hint="eastAsia" w:ascii="仿宋_GB2312" w:hAnsi="ˎ̥" w:eastAsia="仿宋_GB2312"/>
          <w:color w:val="auto"/>
          <w:sz w:val="32"/>
          <w:szCs w:val="32"/>
          <w:lang w:val="en-US" w:eastAsia="zh-CN"/>
        </w:rPr>
        <w:t>35904</w:t>
      </w:r>
      <w:r>
        <w:rPr>
          <w:rFonts w:hint="eastAsia" w:ascii="仿宋_GB2312" w:hAnsi="ˎ̥" w:eastAsia="仿宋_GB2312"/>
          <w:color w:val="auto"/>
          <w:sz w:val="32"/>
          <w:szCs w:val="32"/>
          <w:shd w:val="clear" w:color="auto" w:fill="auto"/>
        </w:rPr>
        <w:t>平方米</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本部门共有车辆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辆，其中，副部（省）级及以上领导用车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辆、主要负责人用车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辆、机要通信用车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辆、应急保障用车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辆、执法执勤用车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辆、特种专业技术用车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辆、离退休干部服务用车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辆、其他用车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单价100万元（含）以上设备（不含车辆）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上述国有资产占用情况相关数</w:t>
      </w:r>
      <w:r>
        <w:rPr>
          <w:rFonts w:hint="eastAsia" w:ascii="仿宋_GB2312" w:hAnsi="ˎ̥" w:eastAsia="仿宋_GB2312"/>
          <w:color w:val="auto"/>
          <w:sz w:val="32"/>
          <w:szCs w:val="32"/>
          <w:shd w:val="clear" w:color="auto" w:fill="auto"/>
          <w:lang w:val="en-US" w:eastAsia="zh-CN"/>
        </w:rPr>
        <w:t>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年度部门决算F0</w:t>
      </w:r>
      <w:r>
        <w:rPr>
          <w:rFonts w:hint="default" w:ascii="仿宋_GB2312" w:hAnsi="ˎ̥" w:eastAsia="仿宋_GB2312"/>
          <w:color w:val="auto"/>
          <w:sz w:val="32"/>
          <w:szCs w:val="32"/>
          <w:shd w:val="clear" w:color="auto" w:fill="auto"/>
          <w:lang w:val="en-US"/>
        </w:rPr>
        <w:t>2</w:t>
      </w:r>
      <w:r>
        <w:rPr>
          <w:rFonts w:hint="eastAsia" w:ascii="仿宋_GB2312" w:hAnsi="ˎ̥" w:eastAsia="仿宋_GB2312"/>
          <w:color w:val="auto"/>
          <w:sz w:val="32"/>
          <w:szCs w:val="32"/>
          <w:shd w:val="clear" w:color="auto" w:fill="auto"/>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bookmarkStart w:id="115" w:name="_Toc11039_WPSOffice_Level1"/>
      <w:bookmarkStart w:id="116" w:name="_Toc8874_WPSOffice_Level1"/>
      <w:bookmarkStart w:id="117" w:name="_Toc4398_WPSOffice_Level1"/>
      <w:bookmarkStart w:id="118" w:name="_Toc8808_WPSOffice_Level1"/>
      <w:bookmarkStart w:id="119" w:name="_Toc15425_WPSOffice_Level1"/>
      <w:bookmarkStart w:id="120" w:name="_Toc17580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十六、</w:t>
      </w:r>
      <w:r>
        <w:rPr>
          <w:rFonts w:ascii="仿宋_GB2312" w:hAnsi="ˎ̥" w:eastAsia="仿宋_GB2312"/>
          <w:color w:val="auto"/>
          <w:sz w:val="32"/>
          <w:szCs w:val="32"/>
          <w:shd w:val="clear" w:color="auto" w:fill="auto"/>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支出功能分类的名词解释，各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单位根据实际支出情况填列，可参阅财政部印发的《</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年政府收支分类科目》</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AB78E77"/>
    <w:multiLevelType w:val="singleLevel"/>
    <w:tmpl w:val="0AB78E77"/>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abstractNum w:abstractNumId="3">
    <w:nsid w:val="75A8FCC9"/>
    <w:multiLevelType w:val="singleLevel"/>
    <w:tmpl w:val="75A8FCC9"/>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483550D"/>
    <w:rsid w:val="09201287"/>
    <w:rsid w:val="0DE2742F"/>
    <w:rsid w:val="0FC80124"/>
    <w:rsid w:val="136F98C7"/>
    <w:rsid w:val="16123952"/>
    <w:rsid w:val="17427E68"/>
    <w:rsid w:val="1755065F"/>
    <w:rsid w:val="1AFC29C9"/>
    <w:rsid w:val="1CA52F2E"/>
    <w:rsid w:val="1DFE370B"/>
    <w:rsid w:val="1E3630B9"/>
    <w:rsid w:val="1EC470E5"/>
    <w:rsid w:val="24B8193D"/>
    <w:rsid w:val="267E5495"/>
    <w:rsid w:val="26EEC2B5"/>
    <w:rsid w:val="29472309"/>
    <w:rsid w:val="2B406E77"/>
    <w:rsid w:val="2C2A0C43"/>
    <w:rsid w:val="2D1E73A5"/>
    <w:rsid w:val="32717154"/>
    <w:rsid w:val="331D582B"/>
    <w:rsid w:val="346C1524"/>
    <w:rsid w:val="34B63260"/>
    <w:rsid w:val="358416AA"/>
    <w:rsid w:val="37FDA7E2"/>
    <w:rsid w:val="3A314D88"/>
    <w:rsid w:val="3A746883"/>
    <w:rsid w:val="3CA15DE9"/>
    <w:rsid w:val="3DF33C93"/>
    <w:rsid w:val="3FE61EE5"/>
    <w:rsid w:val="406508EE"/>
    <w:rsid w:val="408D6263"/>
    <w:rsid w:val="41B40CEE"/>
    <w:rsid w:val="46E2638C"/>
    <w:rsid w:val="48317291"/>
    <w:rsid w:val="485F7024"/>
    <w:rsid w:val="48E70666"/>
    <w:rsid w:val="4C486BB6"/>
    <w:rsid w:val="4C6877E5"/>
    <w:rsid w:val="4D6A468D"/>
    <w:rsid w:val="4D9751F7"/>
    <w:rsid w:val="4EA86137"/>
    <w:rsid w:val="4EFE29BD"/>
    <w:rsid w:val="52FB1B8F"/>
    <w:rsid w:val="54AA3DF7"/>
    <w:rsid w:val="56CA7FD0"/>
    <w:rsid w:val="57FA38D1"/>
    <w:rsid w:val="5F7D3333"/>
    <w:rsid w:val="61385890"/>
    <w:rsid w:val="687436E1"/>
    <w:rsid w:val="69C80FBA"/>
    <w:rsid w:val="6C361582"/>
    <w:rsid w:val="6C9021B1"/>
    <w:rsid w:val="6DA45C50"/>
    <w:rsid w:val="6E9A7825"/>
    <w:rsid w:val="6F670F9B"/>
    <w:rsid w:val="718679A7"/>
    <w:rsid w:val="737450E0"/>
    <w:rsid w:val="73F141CE"/>
    <w:rsid w:val="74054476"/>
    <w:rsid w:val="742F38C4"/>
    <w:rsid w:val="74AB66DC"/>
    <w:rsid w:val="74C4154C"/>
    <w:rsid w:val="75956FFF"/>
    <w:rsid w:val="76C30EE4"/>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1</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2025-10-13T02:25:12Z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