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E73DC">
      <w:pPr>
        <w:spacing w:line="578" w:lineRule="exact"/>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色尼区文旅局机关2024年度部门决算公开报告</w:t>
      </w:r>
    </w:p>
    <w:p w14:paraId="496B50FF">
      <w:pPr>
        <w:spacing w:line="578" w:lineRule="exact"/>
        <w:jc w:val="center"/>
        <w:rPr>
          <w:rFonts w:ascii="黑体" w:hAnsi="ˎ̥" w:eastAsia="黑体"/>
          <w:b/>
          <w:color w:val="auto"/>
          <w:sz w:val="32"/>
          <w:szCs w:val="32"/>
        </w:rPr>
      </w:pPr>
    </w:p>
    <w:p w14:paraId="33A4AF26">
      <w:pPr>
        <w:spacing w:line="578" w:lineRule="exact"/>
        <w:jc w:val="center"/>
        <w:rPr>
          <w:rFonts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14:paraId="6ECA3078">
      <w:pPr>
        <w:pStyle w:val="18"/>
        <w:tabs>
          <w:tab w:val="right" w:leader="dot" w:pos="8306"/>
        </w:tabs>
        <w:spacing w:line="578" w:lineRule="exact"/>
        <w:rPr>
          <w:color w:val="auto"/>
          <w:sz w:val="32"/>
          <w:szCs w:val="32"/>
        </w:rPr>
      </w:pPr>
      <w:r>
        <w:rPr>
          <w:color w:val="auto"/>
        </w:rPr>
        <w:fldChar w:fldCharType="begin"/>
      </w:r>
      <w:r>
        <w:rPr>
          <w:color w:val="auto"/>
        </w:rPr>
        <w:instrText xml:space="preserve"> HYPERLINK \l "_Toc1704_WPSOffice_Level1" </w:instrText>
      </w:r>
      <w:r>
        <w:rPr>
          <w:color w:val="auto"/>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14:paraId="5BEE3C47">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"_Toc20274_WPSOffice_Level2" </w:instrText>
      </w:r>
      <w:r>
        <w:rPr>
          <w:color w:val="auto"/>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39B9572A">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"_Toc4833_WPSOffice_Level2" </w:instrText>
      </w:r>
      <w:r>
        <w:rPr>
          <w:color w:val="auto"/>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5F2C5715">
      <w:pPr>
        <w:pStyle w:val="18"/>
        <w:tabs>
          <w:tab w:val="right" w:leader="dot" w:pos="8306"/>
        </w:tabs>
        <w:spacing w:line="578" w:lineRule="exact"/>
        <w:rPr>
          <w:color w:val="auto"/>
          <w:sz w:val="32"/>
          <w:szCs w:val="32"/>
        </w:rPr>
      </w:pPr>
      <w:r>
        <w:rPr>
          <w:color w:val="auto"/>
        </w:rPr>
        <w:fldChar w:fldCharType="begin"/>
      </w:r>
      <w:r>
        <w:rPr>
          <w:color w:val="auto"/>
        </w:rPr>
        <w:instrText xml:space="preserve"> HYPERLINK \l "_Toc28253_WPSOffice_Level1" </w:instrText>
      </w:r>
      <w:r>
        <w:rPr>
          <w:color w:val="auto"/>
        </w:rPr>
        <w:fldChar w:fldCharType="separate"/>
      </w:r>
      <w:r>
        <w:rPr>
          <w:rFonts w:hint="eastAsia" w:ascii="黑体" w:hAnsi="ˎ̥" w:eastAsia="黑体"/>
          <w:color w:val="auto"/>
          <w:sz w:val="32"/>
          <w:szCs w:val="32"/>
        </w:rPr>
        <w:t xml:space="preserve">第二部分  </w:t>
      </w:r>
      <w:r>
        <w:rPr>
          <w:rFonts w:ascii="黑体" w:hAnsi="ˎ̥" w:eastAsia="黑体"/>
          <w:color w:val="auto"/>
          <w:sz w:val="32"/>
          <w:szCs w:val="32"/>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14:paraId="628171A3">
      <w:pPr>
        <w:pStyle w:val="18"/>
        <w:tabs>
          <w:tab w:val="right" w:leader="dot" w:pos="8306"/>
        </w:tabs>
        <w:spacing w:line="578" w:lineRule="exact"/>
        <w:rPr>
          <w:color w:val="auto"/>
          <w:sz w:val="32"/>
          <w:szCs w:val="32"/>
        </w:rPr>
      </w:pPr>
      <w:r>
        <w:rPr>
          <w:color w:val="auto"/>
        </w:rPr>
        <w:fldChar w:fldCharType="begin"/>
      </w:r>
      <w:r>
        <w:rPr>
          <w:color w:val="auto"/>
        </w:rPr>
        <w:instrText xml:space="preserve"> HYPERLINK \l "_Toc27590_WPSOffice_Level1" </w:instrText>
      </w:r>
      <w:r>
        <w:rPr>
          <w:color w:val="auto"/>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ascii="黑体" w:hAnsi="ˎ̥" w:eastAsia="黑体"/>
          <w:color w:val="auto"/>
          <w:sz w:val="32"/>
          <w:szCs w:val="32"/>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14:paraId="611F0976">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"_Toc21737_WPSOffice_Level2" </w:instrText>
      </w:r>
      <w:r>
        <w:rPr>
          <w:color w:val="auto"/>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14:paraId="5AC96D0A">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15A1F1A6">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4D2EEC56">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四、财政拨款收入支出决算总体情况说明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65D093A7">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14:paraId="22EAE589">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bCs/>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14:paraId="71947247">
      <w:pPr>
        <w:pStyle w:val="19"/>
        <w:numPr>
          <w:ilvl w:val="0"/>
          <w:numId w:val="1"/>
        </w:numPr>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14:paraId="206E0C0B">
      <w:pPr>
        <w:pStyle w:val="19"/>
        <w:numPr>
          <w:ilvl w:val="0"/>
          <w:numId w:val="1"/>
        </w:numPr>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14:paraId="155327FB">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14:paraId="3E2B3E1D">
      <w:pPr>
        <w:pStyle w:val="19"/>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14:paraId="1F60CF3D">
      <w:pPr>
        <w:pStyle w:val="19"/>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14:paraId="06E96C01">
      <w:pPr>
        <w:pStyle w:val="18"/>
        <w:tabs>
          <w:tab w:val="right" w:leader="dot" w:pos="8306"/>
        </w:tabs>
        <w:spacing w:line="578" w:lineRule="exact"/>
        <w:rPr>
          <w:rFonts w:ascii="黑体" w:hAnsi="ˎ̥"/>
          <w:b/>
          <w:color w:val="auto"/>
          <w:sz w:val="32"/>
          <w:szCs w:val="32"/>
        </w:rPr>
      </w:pPr>
      <w:r>
        <w:rPr>
          <w:color w:val="auto"/>
        </w:rPr>
        <w:fldChar w:fldCharType="begin"/>
      </w:r>
      <w:r>
        <w:rPr>
          <w:color w:val="auto"/>
        </w:rPr>
        <w:instrText xml:space="preserve"> HYPERLINK \l "_Toc15425_WPSOffice_Level1" </w:instrText>
      </w:r>
      <w:r>
        <w:rPr>
          <w:color w:val="auto"/>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14:paraId="1CD394D2">
      <w:pPr>
        <w:spacing w:line="578" w:lineRule="exact"/>
        <w:rPr>
          <w:rFonts w:ascii="黑体" w:hAnsi="ˎ̥" w:eastAsia="黑体"/>
          <w:color w:val="auto"/>
          <w:sz w:val="32"/>
          <w:szCs w:val="32"/>
        </w:rPr>
      </w:pPr>
      <w:bookmarkStart w:id="2" w:name="_Toc10720_WPSOffice_Level1"/>
      <w:bookmarkStart w:id="3" w:name="_Toc32433_WPSOffice_Level1"/>
      <w:bookmarkStart w:id="4" w:name="_Toc10049_WPSOffice_Level1"/>
      <w:bookmarkStart w:id="5" w:name="_Toc22941_WPSOffice_Level1"/>
      <w:bookmarkStart w:id="6" w:name="_Toc1704_WPSOffice_Level1"/>
      <w:bookmarkStart w:id="7" w:name="_Toc23465_WPSOffice_Level1"/>
      <w:bookmarkStart w:id="8" w:name="_Toc20274_WPSOffice_Level2"/>
      <w:bookmarkStart w:id="9" w:name="_Toc26580_WPSOffice_Level2"/>
      <w:bookmarkStart w:id="10" w:name="_Toc20205_WPSOffice_Level2"/>
      <w:bookmarkStart w:id="11" w:name="_Toc14159_WPSOffice_Level2"/>
      <w:bookmarkStart w:id="12" w:name="_Toc32622_WPSOffice_Level2"/>
      <w:bookmarkStart w:id="13" w:name="_Toc24238_WPSOffice_Level2"/>
    </w:p>
    <w:p w14:paraId="4A3EBFA4">
      <w:pPr>
        <w:spacing w:line="578" w:lineRule="exact"/>
        <w:jc w:val="center"/>
        <w:rPr>
          <w:rFonts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14:paraId="26004FE9">
      <w:pPr>
        <w:spacing w:line="578" w:lineRule="exact"/>
        <w:ind w:firstLine="640" w:firstLineChars="200"/>
        <w:rPr>
          <w:rFonts w:ascii="楷体" w:hAnsi="楷体" w:eastAsia="楷体" w:cs="楷体"/>
          <w:color w:val="auto"/>
          <w:sz w:val="32"/>
          <w:szCs w:val="32"/>
        </w:rPr>
      </w:pPr>
    </w:p>
    <w:bookmarkEnd w:id="8"/>
    <w:bookmarkEnd w:id="9"/>
    <w:bookmarkEnd w:id="10"/>
    <w:bookmarkEnd w:id="11"/>
    <w:bookmarkEnd w:id="12"/>
    <w:bookmarkEnd w:id="13"/>
    <w:p w14:paraId="4AD06AE0">
      <w:pPr>
        <w:numPr>
          <w:ilvl w:val="0"/>
          <w:numId w:val="2"/>
        </w:numPr>
        <w:spacing w:line="578"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文化和旅游局主要职责</w:t>
      </w:r>
      <w:r>
        <w:rPr>
          <w:rFonts w:hint="eastAsia" w:ascii="黑体" w:hAnsi="黑体" w:eastAsia="黑体" w:cs="黑体"/>
          <w:color w:val="auto"/>
          <w:sz w:val="32"/>
          <w:szCs w:val="32"/>
          <w:lang w:val="en-US" w:eastAsia="zh-CN"/>
        </w:rPr>
        <w:t>:</w:t>
      </w:r>
    </w:p>
    <w:p w14:paraId="08B45300">
      <w:pPr>
        <w:snapToGrid w:val="0"/>
        <w:spacing w:line="576"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文化和旅游局负责贯彻落实党中央关于文化和旅游工作的方针政策及自治区党委、市委、区委的工作要求，把坚持党对文化和旅游工作的领导落实到履行职责过程中，聚焦“四件大事”聚力“四个创建”，紧扣“四个示范市”战略任务。加快文化强区建设，繁荣发展文化事业和文化产业，坚持以文塑旅、以旅彰文，推动文化和旅游深度融合。其</w:t>
      </w:r>
      <w:r>
        <w:rPr>
          <w:rFonts w:hint="eastAsia" w:ascii="仿宋" w:hAnsi="仿宋" w:eastAsia="仿宋" w:cs="仿宋"/>
          <w:color w:val="auto"/>
          <w:sz w:val="32"/>
          <w:szCs w:val="32"/>
        </w:rPr>
        <w:t>主要职责是：</w:t>
      </w:r>
    </w:p>
    <w:p w14:paraId="51994895">
      <w:pPr>
        <w:numPr>
          <w:ilvl w:val="0"/>
          <w:numId w:val="0"/>
        </w:numPr>
        <w:snapToGrid w:val="0"/>
        <w:spacing w:line="576"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（一）研究拟订全区文化和旅游制度措施，</w:t>
      </w:r>
      <w:r>
        <w:rPr>
          <w:rFonts w:hint="eastAsia" w:ascii="仿宋" w:hAnsi="仿宋" w:eastAsia="仿宋" w:cs="仿宋"/>
          <w:color w:val="auto"/>
          <w:sz w:val="32"/>
          <w:szCs w:val="32"/>
        </w:rPr>
        <w:t>贯彻落实文化和旅游的相关政策。</w:t>
      </w:r>
    </w:p>
    <w:p w14:paraId="64EF967B">
      <w:pPr>
        <w:numPr>
          <w:ilvl w:val="0"/>
          <w:numId w:val="0"/>
        </w:numPr>
        <w:snapToGrid w:val="0"/>
        <w:spacing w:line="576" w:lineRule="exact"/>
        <w:ind w:left="32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统筹规划全区文化事业、文化产业和旅游发展，拟工作。负责推进文物合理利用和社会参与工作，组织开展文物和博物馆单位文化创意产品开发工作。</w:t>
      </w:r>
    </w:p>
    <w:p w14:paraId="20B6D13E">
      <w:pPr>
        <w:numPr>
          <w:ilvl w:val="0"/>
          <w:numId w:val="0"/>
        </w:numPr>
        <w:snapToGrid w:val="0"/>
        <w:spacing w:line="576" w:lineRule="exact"/>
        <w:ind w:left="32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（三）负责管理和指导全区考古工作，协助开展全区文物调查勘探、考古发掘工作，组织实施重大考古发掘项目。</w:t>
      </w:r>
    </w:p>
    <w:p w14:paraId="2A04EC55">
      <w:pPr>
        <w:numPr>
          <w:ilvl w:val="0"/>
          <w:numId w:val="0"/>
        </w:numPr>
        <w:snapToGrid w:val="0"/>
        <w:spacing w:line="576" w:lineRule="exact"/>
        <w:ind w:left="32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（四）指导全区文物和博物馆的业务工作，推动完善文物和博物馆公共服务体系建设工作。</w:t>
      </w:r>
    </w:p>
    <w:p w14:paraId="7C356FED">
      <w:pPr>
        <w:numPr>
          <w:ilvl w:val="0"/>
          <w:numId w:val="0"/>
        </w:numPr>
        <w:snapToGrid w:val="0"/>
        <w:spacing w:line="576" w:lineRule="exact"/>
        <w:ind w:left="32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（五）指导和推动全区文物和博物馆科技、信息化、标准化建设工作，</w:t>
      </w:r>
      <w:r>
        <w:rPr>
          <w:rFonts w:hint="eastAsia" w:ascii="仿宋" w:hAnsi="仿宋" w:eastAsia="仿宋" w:cs="仿宋"/>
          <w:color w:val="auto"/>
          <w:sz w:val="32"/>
          <w:szCs w:val="32"/>
        </w:rPr>
        <w:t>组织开展重大文物保护科技创意新工作，促进文物保护科技成果的转化和推广。</w:t>
      </w:r>
    </w:p>
    <w:p w14:paraId="7263DE29">
      <w:pPr>
        <w:numPr>
          <w:ilvl w:val="0"/>
          <w:numId w:val="0"/>
        </w:numPr>
        <w:snapToGrid w:val="0"/>
        <w:spacing w:line="576" w:lineRule="exact"/>
        <w:ind w:left="32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负责本行业本领域安全生产监管和应急处置工作。</w:t>
      </w:r>
    </w:p>
    <w:p w14:paraId="7CC10D91">
      <w:pPr>
        <w:numPr>
          <w:ilvl w:val="0"/>
          <w:numId w:val="0"/>
        </w:numPr>
        <w:snapToGrid w:val="0"/>
        <w:spacing w:line="576" w:lineRule="exact"/>
        <w:ind w:left="320" w:leftChars="0" w:firstLine="640" w:firstLineChars="200"/>
        <w:jc w:val="left"/>
        <w:rPr>
          <w:rFonts w:hint="eastAsia" w:ascii="仿宋_GB2312" w:hAnsi="ˎ̥" w:eastAsia="仿宋_GB2312"/>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完成区委、区政府交办的其他任务。</w:t>
      </w:r>
    </w:p>
    <w:p w14:paraId="43B97CB2">
      <w:pPr>
        <w:spacing w:line="578" w:lineRule="exact"/>
        <w:ind w:firstLine="640" w:firstLineChars="200"/>
        <w:rPr>
          <w:rFonts w:ascii="黑体" w:hAnsi="黑体" w:eastAsia="黑体" w:cs="黑体"/>
          <w:color w:val="auto"/>
          <w:sz w:val="32"/>
          <w:szCs w:val="32"/>
        </w:rPr>
      </w:pPr>
      <w:bookmarkStart w:id="14" w:name="_Toc4833_WPSOffice_Level2"/>
      <w:bookmarkStart w:id="15" w:name="_Toc24474_WPSOffice_Level2"/>
      <w:bookmarkStart w:id="16" w:name="_Toc24059_WPSOffice_Level2"/>
      <w:bookmarkStart w:id="17" w:name="_Toc17796_WPSOffice_Level2"/>
      <w:bookmarkStart w:id="18" w:name="_Toc6572_WPSOffice_Level2"/>
      <w:r>
        <w:rPr>
          <w:rFonts w:hint="eastAsia" w:ascii="黑体" w:hAnsi="黑体" w:eastAsia="黑体" w:cs="黑体"/>
          <w:color w:val="auto"/>
          <w:sz w:val="32"/>
          <w:szCs w:val="32"/>
        </w:rPr>
        <w:t>二、机构设置</w:t>
      </w:r>
      <w:bookmarkEnd w:id="14"/>
      <w:bookmarkEnd w:id="15"/>
      <w:bookmarkEnd w:id="16"/>
      <w:bookmarkEnd w:id="17"/>
      <w:bookmarkEnd w:id="18"/>
    </w:p>
    <w:p w14:paraId="6C0FF03F">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纳入那曲市色尼区文化和旅游局</w:t>
      </w:r>
      <w:r>
        <w:rPr>
          <w:rFonts w:ascii="仿宋_GB2312" w:hAnsi="ˎ̥" w:eastAsia="仿宋_GB2312"/>
          <w:color w:val="auto"/>
          <w:sz w:val="32"/>
          <w:szCs w:val="32"/>
        </w:rPr>
        <w:t>2024</w:t>
      </w:r>
      <w:r>
        <w:rPr>
          <w:rFonts w:hint="eastAsia" w:ascii="仿宋_GB2312" w:hAnsi="ˎ̥" w:eastAsia="仿宋_GB2312"/>
          <w:color w:val="auto"/>
          <w:sz w:val="32"/>
          <w:szCs w:val="32"/>
        </w:rPr>
        <w:t>年度部门决算编制范围的单位共1个，那曲市色尼区文化和旅游局。</w:t>
      </w:r>
    </w:p>
    <w:p w14:paraId="3BF6965E">
      <w:pPr>
        <w:spacing w:line="578" w:lineRule="exact"/>
        <w:ind w:firstLine="643" w:firstLineChars="200"/>
        <w:rPr>
          <w:rFonts w:hint="eastAsia" w:ascii="仿宋_GB2312" w:hAnsi="ˎ̥" w:eastAsia="仿宋_GB2312"/>
          <w:b/>
          <w:bCs/>
          <w:color w:val="auto"/>
          <w:sz w:val="32"/>
          <w:szCs w:val="32"/>
        </w:rPr>
      </w:pPr>
      <w:bookmarkStart w:id="19" w:name="_Toc24421_WPSOffice_Level2"/>
      <w:bookmarkStart w:id="20" w:name="_Toc25738_WPSOffice_Level2"/>
      <w:r>
        <w:rPr>
          <w:rFonts w:hint="eastAsia" w:ascii="仿宋_GB2312" w:hAnsi="ˎ̥" w:eastAsia="仿宋_GB2312"/>
          <w:b/>
          <w:bCs/>
          <w:color w:val="auto"/>
          <w:sz w:val="32"/>
          <w:szCs w:val="32"/>
        </w:rPr>
        <w:t>（一）那曲市色尼区文化和旅游局本级</w:t>
      </w:r>
      <w:bookmarkEnd w:id="19"/>
      <w:bookmarkEnd w:id="20"/>
    </w:p>
    <w:p w14:paraId="2C0D555F">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那曲市色尼区文化和旅游局为独立编制决算的预算单位，无下属预算单位。局内设机构主要包括：办公室、公共文化服务、非遗、文物保护</w:t>
      </w:r>
      <w:r>
        <w:rPr>
          <w:rFonts w:hint="eastAsia" w:ascii="仿宋_GB2312" w:hAnsi="ˎ̥" w:eastAsia="仿宋_GB2312"/>
          <w:color w:val="auto"/>
          <w:sz w:val="32"/>
          <w:szCs w:val="32"/>
          <w:lang w:eastAsia="zh-CN"/>
        </w:rPr>
        <w:t>、市场等</w:t>
      </w:r>
      <w:r>
        <w:rPr>
          <w:rFonts w:hint="eastAsia" w:ascii="仿宋_GB2312" w:hAnsi="ˎ̥" w:eastAsia="仿宋_GB2312"/>
          <w:color w:val="auto"/>
          <w:sz w:val="32"/>
          <w:szCs w:val="32"/>
        </w:rPr>
        <w:t>。</w:t>
      </w:r>
    </w:p>
    <w:p w14:paraId="00E0805F">
      <w:pPr>
        <w:spacing w:line="578" w:lineRule="exact"/>
        <w:ind w:firstLine="643" w:firstLineChars="200"/>
        <w:rPr>
          <w:rFonts w:hint="eastAsia" w:ascii="仿宋_GB2312" w:hAnsi="ˎ̥" w:eastAsia="仿宋_GB2312"/>
          <w:b/>
          <w:bCs/>
          <w:color w:val="auto"/>
          <w:sz w:val="32"/>
          <w:szCs w:val="32"/>
        </w:rPr>
      </w:pPr>
      <w:bookmarkStart w:id="21" w:name="_Toc30690_WPSOffice_Level1"/>
      <w:bookmarkStart w:id="22" w:name="_Toc28253_WPSOffice_Level1"/>
      <w:bookmarkStart w:id="23" w:name="_Toc15521_WPSOffice_Level1"/>
      <w:bookmarkStart w:id="24" w:name="_Toc6234_WPSOffice_Level1"/>
      <w:bookmarkStart w:id="25" w:name="_Toc30451_WPSOffice_Level1"/>
      <w:bookmarkStart w:id="26" w:name="_Toc8164_WPSOffice_Level1"/>
      <w:bookmarkStart w:id="27" w:name="_Toc32695_WPSOffice_Level2"/>
      <w:bookmarkStart w:id="28" w:name="_Toc11518_WPSOffice_Level2"/>
      <w:bookmarkStart w:id="29" w:name="_Toc6211_WPSOffice_Level2"/>
      <w:bookmarkStart w:id="30" w:name="_Toc4029_WPSOffice_Level2"/>
      <w:bookmarkStart w:id="31" w:name="_Toc8867_WPSOffice_Level2"/>
      <w:bookmarkStart w:id="32" w:name="_Toc32472_WPSOffice_Level2"/>
      <w:r>
        <w:rPr>
          <w:rFonts w:hint="eastAsia" w:ascii="仿宋_GB2312" w:hAnsi="ˎ̥" w:eastAsia="仿宋_GB2312"/>
          <w:b/>
          <w:bCs/>
          <w:color w:val="auto"/>
          <w:sz w:val="32"/>
          <w:szCs w:val="32"/>
        </w:rPr>
        <w:t>（</w:t>
      </w:r>
      <w:r>
        <w:rPr>
          <w:rFonts w:hint="eastAsia" w:ascii="仿宋_GB2312" w:hAnsi="ˎ̥" w:eastAsia="仿宋_GB2312"/>
          <w:b/>
          <w:bCs/>
          <w:color w:val="auto"/>
          <w:sz w:val="32"/>
          <w:szCs w:val="32"/>
          <w:lang w:eastAsia="zh-CN"/>
        </w:rPr>
        <w:t>二</w:t>
      </w:r>
      <w:r>
        <w:rPr>
          <w:rFonts w:hint="eastAsia" w:ascii="仿宋_GB2312" w:hAnsi="ˎ̥" w:eastAsia="仿宋_GB2312"/>
          <w:b/>
          <w:bCs/>
          <w:color w:val="auto"/>
          <w:sz w:val="32"/>
          <w:szCs w:val="32"/>
        </w:rPr>
        <w:t>）那曲市色尼区文化和旅游局</w:t>
      </w:r>
      <w:r>
        <w:rPr>
          <w:rFonts w:hint="eastAsia" w:ascii="仿宋_GB2312" w:hAnsi="ˎ̥" w:eastAsia="仿宋_GB2312"/>
          <w:b/>
          <w:bCs/>
          <w:color w:val="auto"/>
          <w:sz w:val="32"/>
          <w:szCs w:val="32"/>
          <w:lang w:eastAsia="zh-CN"/>
        </w:rPr>
        <w:t>无下属单位</w:t>
      </w:r>
    </w:p>
    <w:p w14:paraId="656A2C9F">
      <w:pPr>
        <w:spacing w:line="578" w:lineRule="exact"/>
        <w:jc w:val="center"/>
        <w:rPr>
          <w:rFonts w:ascii="黑体" w:hAnsi="黑体" w:eastAsia="黑体" w:cs="黑体"/>
          <w:color w:val="auto"/>
          <w:sz w:val="32"/>
          <w:szCs w:val="32"/>
        </w:rPr>
      </w:pPr>
      <w:r>
        <w:rPr>
          <w:rFonts w:hint="eastAsia" w:ascii="黑体" w:hAnsi="ˎ̥" w:eastAsia="黑体"/>
          <w:color w:val="auto"/>
          <w:sz w:val="32"/>
          <w:szCs w:val="32"/>
        </w:rPr>
        <w:t xml:space="preserve">第二部分  </w:t>
      </w:r>
      <w:r>
        <w:rPr>
          <w:rFonts w:ascii="黑体" w:hAnsi="ˎ̥" w:eastAsia="黑体"/>
          <w:color w:val="auto"/>
          <w:sz w:val="32"/>
          <w:szCs w:val="32"/>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26"/>
    </w:p>
    <w:p w14:paraId="2A51C4DF">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7"/>
      <w:bookmarkEnd w:id="28"/>
      <w:bookmarkEnd w:id="29"/>
      <w:bookmarkEnd w:id="30"/>
      <w:bookmarkEnd w:id="31"/>
      <w:bookmarkEnd w:id="32"/>
    </w:p>
    <w:p w14:paraId="739FB74C">
      <w:pPr>
        <w:spacing w:line="578" w:lineRule="exact"/>
        <w:ind w:firstLine="645"/>
        <w:rPr>
          <w:rFonts w:ascii="黑体" w:hAnsi="黑体" w:eastAsia="黑体" w:cs="黑体"/>
          <w:color w:val="auto"/>
          <w:sz w:val="32"/>
          <w:szCs w:val="32"/>
        </w:rPr>
      </w:pPr>
      <w:bookmarkStart w:id="33" w:name="_Toc26621_WPSOffice_Level2"/>
      <w:bookmarkStart w:id="34" w:name="_Toc23139_WPSOffice_Level2"/>
      <w:bookmarkStart w:id="35" w:name="_Toc28622_WPSOffice_Level2"/>
      <w:bookmarkStart w:id="36" w:name="_Toc30334_WPSOffice_Level2"/>
      <w:bookmarkStart w:id="37" w:name="_Toc14349_WPSOffice_Level2"/>
      <w:bookmarkStart w:id="38" w:name="_Toc25608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5489_WPSOffice_Level2"/>
      <w:bookmarkStart w:id="40" w:name="_Toc17858_WPSOffice_Level2"/>
      <w:bookmarkStart w:id="41" w:name="_Toc3262_WPSOffice_Level2"/>
      <w:bookmarkStart w:id="42" w:name="_Toc13854_WPSOffice_Level2"/>
      <w:bookmarkStart w:id="43" w:name="_Toc14658_WPSOffice_Level2"/>
      <w:bookmarkStart w:id="44" w:name="_Toc17626_WPSOffice_Level2"/>
    </w:p>
    <w:p w14:paraId="2975F0AD">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13701_WPSOffice_Level2"/>
      <w:bookmarkStart w:id="46" w:name="_Toc7988_WPSOffice_Level2"/>
      <w:bookmarkStart w:id="47" w:name="_Toc21415_WPSOffice_Level2"/>
      <w:bookmarkStart w:id="48" w:name="_Toc23591_WPSOffice_Level2"/>
      <w:bookmarkStart w:id="49" w:name="_Toc23493_WPSOffice_Level2"/>
      <w:bookmarkStart w:id="50" w:name="_Toc4265_WPSOffice_Level2"/>
    </w:p>
    <w:p w14:paraId="073A7089">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14:paraId="02AB0D32">
      <w:pPr>
        <w:spacing w:line="578" w:lineRule="exact"/>
        <w:ind w:firstLine="645"/>
        <w:rPr>
          <w:rFonts w:ascii="黑体" w:hAnsi="黑体" w:eastAsia="黑体" w:cs="黑体"/>
          <w:color w:val="auto"/>
          <w:sz w:val="32"/>
          <w:szCs w:val="32"/>
        </w:rPr>
      </w:pPr>
      <w:bookmarkStart w:id="51" w:name="_Toc7879_WPSOffice_Level2"/>
      <w:bookmarkStart w:id="52" w:name="_Toc25166_WPSOffice_Level2"/>
      <w:bookmarkStart w:id="53" w:name="_Toc22783_WPSOffice_Level2"/>
      <w:bookmarkStart w:id="54" w:name="_Toc23829_WPSOffice_Level2"/>
      <w:bookmarkStart w:id="55" w:name="_Toc2158_WPSOffice_Level2"/>
      <w:bookmarkStart w:id="56" w:name="_Toc13516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17833_WPSOffice_Level2"/>
      <w:bookmarkStart w:id="58" w:name="_Toc2632_WPSOffice_Level2"/>
      <w:bookmarkStart w:id="59" w:name="_Toc5343_WPSOffice_Level2"/>
      <w:bookmarkStart w:id="60" w:name="_Toc8373_WPSOffice_Level2"/>
      <w:bookmarkStart w:id="61" w:name="_Toc17283_WPSOffice_Level2"/>
      <w:bookmarkStart w:id="62" w:name="_Toc25362_WPSOffice_Level2"/>
    </w:p>
    <w:p w14:paraId="536D5015">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14:paraId="2A8C69B2">
      <w:pPr>
        <w:spacing w:line="578" w:lineRule="exact"/>
        <w:ind w:left="1118" w:leftChars="304" w:hanging="480" w:hangingChars="150"/>
        <w:rPr>
          <w:rFonts w:ascii="黑体" w:hAnsi="黑体" w:eastAsia="黑体" w:cs="黑体"/>
          <w:color w:val="auto"/>
          <w:sz w:val="32"/>
          <w:szCs w:val="32"/>
        </w:rPr>
      </w:pPr>
      <w:bookmarkStart w:id="63" w:name="_Toc13345_WPSOffice_Level2"/>
      <w:bookmarkStart w:id="64" w:name="_Toc6020_WPSOffice_Level2"/>
      <w:bookmarkStart w:id="65" w:name="_Toc11799_WPSOffice_Level2"/>
      <w:bookmarkStart w:id="66" w:name="_Toc1533_WPSOffice_Level2"/>
      <w:bookmarkStart w:id="67" w:name="_Toc21310_WPSOffice_Level2"/>
      <w:bookmarkStart w:id="68" w:name="_Toc5594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14:paraId="6DF4C852">
      <w:pPr>
        <w:spacing w:line="578" w:lineRule="exact"/>
        <w:ind w:left="1118" w:leftChars="304" w:hanging="480" w:hangingChars="150"/>
        <w:rPr>
          <w:rFonts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14:paraId="5AF2DDE5">
      <w:pPr>
        <w:spacing w:line="578" w:lineRule="exact"/>
        <w:ind w:firstLine="640"/>
        <w:rPr>
          <w:rFonts w:ascii="黑体" w:hAnsi="黑体" w:eastAsia="黑体" w:cs="黑体"/>
          <w:color w:val="auto"/>
          <w:sz w:val="32"/>
          <w:szCs w:val="32"/>
        </w:rPr>
      </w:pPr>
      <w:bookmarkStart w:id="69" w:name="_Toc19961_WPSOffice_Level2"/>
      <w:bookmarkStart w:id="70" w:name="_Toc29886_WPSOffice_Level2"/>
      <w:bookmarkStart w:id="71" w:name="_Toc1820_WPSOffice_Level2"/>
      <w:bookmarkStart w:id="72" w:name="_Toc9377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14:paraId="7E424331">
      <w:pPr>
        <w:spacing w:line="578" w:lineRule="exact"/>
        <w:ind w:firstLine="640"/>
        <w:rPr>
          <w:rFonts w:ascii="黑体" w:hAnsi="黑体" w:eastAsia="黑体" w:cs="黑体"/>
          <w:color w:val="auto"/>
          <w:sz w:val="32"/>
          <w:szCs w:val="32"/>
        </w:rPr>
      </w:pPr>
      <w:r>
        <w:rPr>
          <w:rFonts w:hint="eastAsia" w:ascii="仿宋" w:hAnsi="仿宋" w:eastAsia="仿宋" w:cs="仿宋"/>
          <w:color w:val="auto"/>
          <w:sz w:val="32"/>
          <w:szCs w:val="32"/>
        </w:rPr>
        <w:t xml:space="preserve">以上报表见附件1。   </w:t>
      </w:r>
    </w:p>
    <w:p w14:paraId="31C11C87">
      <w:pPr>
        <w:spacing w:line="578" w:lineRule="exact"/>
        <w:jc w:val="center"/>
        <w:rPr>
          <w:rFonts w:ascii="黑体" w:hAnsi="ˎ̥" w:eastAsia="黑体"/>
          <w:color w:val="auto"/>
          <w:sz w:val="32"/>
          <w:szCs w:val="32"/>
        </w:rPr>
      </w:pPr>
      <w:bookmarkStart w:id="73" w:name="_Toc4402_WPSOffice_Level1"/>
      <w:bookmarkStart w:id="74" w:name="_Toc31264_WPSOffice_Level1"/>
      <w:bookmarkStart w:id="75" w:name="_Toc28629_WPSOffice_Level1"/>
      <w:bookmarkStart w:id="76" w:name="_Toc16686_WPSOffice_Level1"/>
      <w:bookmarkStart w:id="77" w:name="_Toc27590_WPSOffice_Level1"/>
      <w:bookmarkStart w:id="78" w:name="_Toc29683_WPSOffice_Level1"/>
      <w:r>
        <w:rPr>
          <w:rFonts w:hint="eastAsia" w:ascii="黑体" w:hAnsi="ˎ̥" w:eastAsia="黑体"/>
          <w:color w:val="auto"/>
          <w:sz w:val="32"/>
          <w:szCs w:val="32"/>
        </w:rPr>
        <w:t xml:space="preserve">第三部分  </w:t>
      </w:r>
      <w:r>
        <w:rPr>
          <w:rFonts w:ascii="黑体" w:hAnsi="ˎ̥" w:eastAsia="黑体"/>
          <w:color w:val="auto"/>
          <w:sz w:val="32"/>
          <w:szCs w:val="32"/>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14:paraId="344F9106">
      <w:pPr>
        <w:snapToGrid w:val="0"/>
        <w:spacing w:line="520" w:lineRule="exact"/>
        <w:ind w:firstLine="640" w:firstLineChars="200"/>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ascii="仿宋_GB2312" w:hAnsi="ˎ̥" w:eastAsia="仿宋_GB2312"/>
          <w:color w:val="auto"/>
          <w:sz w:val="32"/>
          <w:szCs w:val="32"/>
        </w:rPr>
        <w:t>2024</w:t>
      </w:r>
      <w:r>
        <w:rPr>
          <w:rFonts w:hint="eastAsia" w:ascii="仿宋_GB2312" w:hAnsi="ˎ̥" w:eastAsia="仿宋_GB2312"/>
          <w:color w:val="auto"/>
          <w:sz w:val="32"/>
          <w:szCs w:val="32"/>
        </w:rPr>
        <w:t>年度收入总计</w:t>
      </w:r>
      <w:r>
        <w:rPr>
          <w:rFonts w:ascii="仿宋_GB2312" w:hAnsi="ˎ̥" w:eastAsia="仿宋_GB2312"/>
          <w:color w:val="auto"/>
          <w:sz w:val="32"/>
          <w:szCs w:val="32"/>
        </w:rPr>
        <w:t>6,349.36</w:t>
      </w:r>
      <w:r>
        <w:rPr>
          <w:rFonts w:hint="eastAsia" w:ascii="仿宋_GB2312" w:hAnsi="ˎ̥" w:eastAsia="仿宋_GB2312"/>
          <w:color w:val="auto"/>
          <w:sz w:val="32"/>
          <w:szCs w:val="32"/>
        </w:rPr>
        <w:t>万元，支出总计</w:t>
      </w:r>
      <w:r>
        <w:rPr>
          <w:rFonts w:ascii="仿宋_GB2312" w:hAnsi="ˎ̥" w:eastAsia="仿宋_GB2312"/>
          <w:color w:val="auto"/>
          <w:sz w:val="32"/>
          <w:szCs w:val="32"/>
        </w:rPr>
        <w:t>6,349.36</w:t>
      </w:r>
      <w:r>
        <w:rPr>
          <w:rFonts w:hint="eastAsia" w:ascii="仿宋_GB2312" w:hAnsi="ˎ̥" w:eastAsia="仿宋_GB2312"/>
          <w:color w:val="auto"/>
          <w:sz w:val="32"/>
          <w:szCs w:val="32"/>
        </w:rPr>
        <w:t>万元，与</w:t>
      </w:r>
      <w:r>
        <w:rPr>
          <w:rFonts w:ascii="仿宋_GB2312" w:hAnsi="ˎ̥" w:eastAsia="仿宋_GB2312"/>
          <w:color w:val="auto"/>
          <w:sz w:val="32"/>
          <w:szCs w:val="32"/>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3262.70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105.70</w:t>
      </w:r>
      <w:r>
        <w:rPr>
          <w:rFonts w:hint="eastAsia" w:ascii="仿宋_GB2312" w:hAnsi="ˎ̥" w:eastAsia="仿宋_GB2312"/>
          <w:color w:val="auto"/>
          <w:sz w:val="32"/>
          <w:szCs w:val="32"/>
        </w:rPr>
        <w:t>%。主要原因</w:t>
      </w:r>
      <w:r>
        <w:rPr>
          <w:rFonts w:hint="eastAsia" w:ascii="仿宋_GB2312" w:hAnsi="ˎ̥" w:eastAsia="仿宋_GB2312"/>
          <w:b/>
          <w:bCs/>
          <w:color w:val="auto"/>
          <w:sz w:val="32"/>
          <w:szCs w:val="32"/>
          <w:lang w:eastAsia="zh-CN"/>
        </w:rPr>
        <w:t>一是</w:t>
      </w:r>
      <w:r>
        <w:rPr>
          <w:rFonts w:hint="eastAsia" w:ascii="仿宋" w:hAnsi="仿宋" w:eastAsia="仿宋"/>
          <w:color w:val="auto"/>
          <w:sz w:val="32"/>
          <w:szCs w:val="32"/>
        </w:rPr>
        <w:t>单位本年支出为6349.36万元，其中基本支出1550.92万元，项目支出4798.44万元。比起往年今年的支出整体有所增加，主要原因为本年有援藏资金支出为1001.39万元、存量资金支出为169.27万元、新增项目格萨尔赛马场提升改造项目资金为2496.39万元，其中今年支出2086.22万元、赛马节活动经费资金为922.23万元，今年全部已支出完成。</w:t>
      </w:r>
      <w:r>
        <w:rPr>
          <w:rFonts w:hint="eastAsia" w:ascii="仿宋" w:hAnsi="仿宋" w:eastAsia="仿宋"/>
          <w:b/>
          <w:color w:val="auto"/>
          <w:sz w:val="32"/>
          <w:szCs w:val="32"/>
        </w:rPr>
        <w:t>二是</w:t>
      </w:r>
      <w:r>
        <w:rPr>
          <w:rFonts w:hint="eastAsia" w:ascii="仿宋" w:hAnsi="仿宋" w:eastAsia="仿宋"/>
          <w:color w:val="auto"/>
          <w:sz w:val="32"/>
          <w:szCs w:val="32"/>
        </w:rPr>
        <w:t>收入支出与上年度对比情况人员支出减少39.20%，主要原因为2023年有工资福利增加的部分一次性兑现的原因；公用经费减少2.29%，主要原因为减少办公物品购买经费；项目支出增加40.47%，主要原因为今年有新增项目格萨尔赛马场提升改造项目资金支出2086.22万元、赛马节活动经费资金支出为922.23万元。</w:t>
      </w:r>
    </w:p>
    <w:p w14:paraId="2AFCD458">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50EF9E23">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收入6,180.09</w:t>
      </w:r>
      <w:r>
        <w:rPr>
          <w:rFonts w:hint="eastAsia" w:ascii="仿宋_GB2312" w:hAnsi="ˎ̥" w:eastAsia="仿宋_GB2312"/>
          <w:color w:val="auto"/>
          <w:sz w:val="32"/>
          <w:szCs w:val="32"/>
        </w:rPr>
        <w:t>万元。</w:t>
      </w:r>
    </w:p>
    <w:p w14:paraId="6A8279C4">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eastAsia" w:ascii="仿宋" w:hAnsi="仿宋" w:eastAsia="仿宋"/>
          <w:color w:val="auto"/>
          <w:sz w:val="32"/>
          <w:szCs w:val="32"/>
          <w:lang w:val="en-US" w:eastAsia="zh-CN"/>
        </w:rPr>
        <w:t>0</w:t>
      </w:r>
      <w:r>
        <w:rPr>
          <w:rFonts w:hint="eastAsia" w:ascii="仿宋_GB2312" w:hAnsi="ˎ̥" w:eastAsia="仿宋_GB2312"/>
          <w:color w:val="auto"/>
          <w:sz w:val="32"/>
          <w:szCs w:val="32"/>
        </w:rPr>
        <w:t>万元，较</w:t>
      </w:r>
      <w:r>
        <w:rPr>
          <w:rFonts w:ascii="仿宋_GB2312" w:hAnsi="ˎ̥" w:eastAsia="仿宋_GB2312"/>
          <w:color w:val="auto"/>
          <w:sz w:val="32"/>
          <w:szCs w:val="32"/>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37.26</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eastAsia="zh-CN"/>
        </w:rPr>
        <w:t>比起</w:t>
      </w:r>
      <w:r>
        <w:rPr>
          <w:rFonts w:hint="eastAsia" w:ascii="仿宋_GB2312" w:hAnsi="ˎ̥" w:eastAsia="仿宋_GB2312"/>
          <w:color w:val="auto"/>
          <w:sz w:val="32"/>
          <w:szCs w:val="32"/>
          <w:lang w:val="en-US" w:eastAsia="zh-CN"/>
        </w:rPr>
        <w:t>2023年今年的支出整体有所减少，主要原因为比起去年今年项目完工较快</w:t>
      </w:r>
      <w:r>
        <w:rPr>
          <w:rFonts w:hint="eastAsia" w:ascii="仿宋_GB2312" w:hAnsi="ˎ̥" w:eastAsia="仿宋_GB2312"/>
          <w:color w:val="auto"/>
          <w:sz w:val="32"/>
          <w:szCs w:val="32"/>
        </w:rPr>
        <w:t>。</w:t>
      </w:r>
    </w:p>
    <w:p w14:paraId="24E26AF0">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ascii="仿宋_GB2312" w:hAnsi="ˎ̥" w:eastAsia="仿宋_GB2312"/>
          <w:color w:val="auto"/>
          <w:sz w:val="32"/>
          <w:szCs w:val="32"/>
        </w:rPr>
        <w:t>169.27</w:t>
      </w:r>
      <w:r>
        <w:rPr>
          <w:rFonts w:hint="eastAsia" w:ascii="仿宋_GB2312" w:hAnsi="ˎ̥" w:eastAsia="仿宋_GB2312"/>
          <w:color w:val="auto"/>
          <w:sz w:val="32"/>
          <w:szCs w:val="32"/>
        </w:rPr>
        <w:t>万元，主要是</w:t>
      </w:r>
      <w:r>
        <w:rPr>
          <w:rFonts w:hint="eastAsia" w:ascii="仿宋" w:hAnsi="仿宋" w:eastAsia="仿宋"/>
          <w:color w:val="auto"/>
          <w:sz w:val="32"/>
          <w:szCs w:val="32"/>
        </w:rPr>
        <w:t>财政结转资金为169.27万元都是财政存量资金</w:t>
      </w:r>
      <w:r>
        <w:rPr>
          <w:rFonts w:hint="eastAsia" w:ascii="仿宋_GB2312" w:hAnsi="ˎ̥" w:eastAsia="仿宋_GB2312"/>
          <w:color w:val="auto"/>
          <w:sz w:val="32"/>
          <w:szCs w:val="32"/>
        </w:rPr>
        <w:t>，较</w:t>
      </w:r>
      <w:r>
        <w:rPr>
          <w:rFonts w:ascii="仿宋_GB2312" w:hAnsi="ˎ̥" w:eastAsia="仿宋_GB2312"/>
          <w:color w:val="auto"/>
          <w:sz w:val="32"/>
          <w:szCs w:val="32"/>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634.21</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75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2023年结转结余有803.48万元，2024年年初结转资金只有169.27万元，项目完工率比去年增加，同比去年年初结转资金也减少了634.21万元</w:t>
      </w:r>
      <w:r>
        <w:rPr>
          <w:rFonts w:hint="eastAsia" w:ascii="仿宋_GB2312" w:hAnsi="ˎ̥" w:eastAsia="仿宋_GB2312"/>
          <w:color w:val="auto"/>
          <w:sz w:val="32"/>
          <w:szCs w:val="32"/>
        </w:rPr>
        <w:t>。</w:t>
      </w:r>
    </w:p>
    <w:p w14:paraId="6DCA1989">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6A4E828B">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本年支出</w:t>
      </w:r>
      <w:r>
        <w:rPr>
          <w:rFonts w:ascii="仿宋_GB2312" w:hAnsi="ˎ̥" w:eastAsia="仿宋_GB2312"/>
          <w:color w:val="auto"/>
          <w:sz w:val="32"/>
          <w:szCs w:val="32"/>
        </w:rPr>
        <w:t>6,349.36</w:t>
      </w:r>
      <w:r>
        <w:rPr>
          <w:rFonts w:hint="eastAsia" w:ascii="仿宋_GB2312" w:hAnsi="ˎ̥" w:eastAsia="仿宋_GB2312"/>
          <w:color w:val="auto"/>
          <w:sz w:val="32"/>
          <w:szCs w:val="32"/>
        </w:rPr>
        <w:t>万元。</w:t>
      </w:r>
    </w:p>
    <w:p w14:paraId="79D9C7D3">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eastAsia" w:ascii="仿宋_GB2312" w:hAnsi="ˎ̥" w:eastAsia="仿宋_GB2312"/>
          <w:color w:val="auto"/>
          <w:sz w:val="32"/>
          <w:szCs w:val="32"/>
          <w:lang w:val="en-US" w:eastAsia="zh-CN"/>
        </w:rPr>
        <w:t>169.27</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结余资金</w:t>
      </w:r>
      <w:r>
        <w:rPr>
          <w:rFonts w:hint="eastAsia" w:ascii="仿宋_GB2312" w:hAnsi="ˎ̥" w:eastAsia="仿宋_GB2312"/>
          <w:color w:val="auto"/>
          <w:sz w:val="32"/>
          <w:szCs w:val="32"/>
          <w:lang w:val="en-US" w:eastAsia="zh-CN"/>
        </w:rPr>
        <w:t>169.27万元都为</w:t>
      </w:r>
      <w:r>
        <w:rPr>
          <w:rFonts w:hint="eastAsia" w:ascii="仿宋" w:hAnsi="仿宋" w:eastAsia="仿宋"/>
          <w:color w:val="auto"/>
          <w:sz w:val="32"/>
          <w:szCs w:val="32"/>
        </w:rPr>
        <w:t>财政存量资金</w:t>
      </w:r>
      <w:r>
        <w:rPr>
          <w:rFonts w:hint="eastAsia" w:ascii="仿宋" w:hAnsi="仿宋" w:eastAsia="仿宋"/>
          <w:color w:val="auto"/>
          <w:sz w:val="32"/>
          <w:szCs w:val="32"/>
          <w:lang w:eastAsia="zh-CN"/>
        </w:rPr>
        <w:t>，其主要用于</w:t>
      </w:r>
      <w:r>
        <w:rPr>
          <w:rFonts w:hint="eastAsia" w:ascii="仿宋" w:hAnsi="仿宋" w:eastAsia="仿宋"/>
          <w:color w:val="auto"/>
          <w:sz w:val="32"/>
          <w:szCs w:val="32"/>
          <w:lang w:val="en-US" w:eastAsia="zh-CN"/>
        </w:rPr>
        <w:t>:1、</w:t>
      </w:r>
      <w:r>
        <w:rPr>
          <w:rFonts w:hint="eastAsia" w:ascii="仿宋_GB2312" w:hAnsi="ˎ̥" w:eastAsia="仿宋_GB2312"/>
          <w:color w:val="auto"/>
          <w:sz w:val="32"/>
          <w:szCs w:val="32"/>
          <w:lang w:eastAsia="zh-CN"/>
        </w:rPr>
        <w:t>基层党建组织建设工作现场会资金</w:t>
      </w:r>
      <w:r>
        <w:rPr>
          <w:rFonts w:hint="eastAsia" w:ascii="仿宋_GB2312" w:hAnsi="ˎ̥" w:eastAsia="仿宋_GB2312"/>
          <w:color w:val="auto"/>
          <w:sz w:val="32"/>
          <w:szCs w:val="32"/>
          <w:lang w:val="en-US" w:eastAsia="zh-CN"/>
        </w:rPr>
        <w:t>9.33万元；2、西部志愿生活补助和去世者某某同志的安葬费和抚恤金、抚养费及班禅出生地修缮保护工程建设总共47.38万元；3、那曲市色尼区夯措、拔绒沟、嘎尔德牧业基地三个A级旅游景区规划创建申报采购项目资金37.50万元；4、那曲市色尼区桑丹康桑景区基础建设项目、文化旅游基础设备项目草原征战补办、乡镇驿站建设项目（罗岗村）新增建设用地有偿使用费资金73.66万元；5、失业保险配套资金1.40万元。</w:t>
      </w:r>
      <w:r>
        <w:rPr>
          <w:rFonts w:hint="eastAsia" w:ascii="仿宋_GB2312" w:hAnsi="ˎ̥" w:eastAsia="仿宋_GB2312"/>
          <w:color w:val="auto"/>
          <w:sz w:val="32"/>
          <w:szCs w:val="32"/>
        </w:rPr>
        <w:t>较</w:t>
      </w:r>
      <w:r>
        <w:rPr>
          <w:rFonts w:ascii="仿宋_GB2312" w:hAnsi="ˎ̥" w:eastAsia="仿宋_GB2312"/>
          <w:color w:val="auto"/>
          <w:sz w:val="32"/>
          <w:szCs w:val="32"/>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634.21</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75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2023年结转结余有803.48万元，2024年年初结转资金只有169.27万元，项目完工率比去年增加，同比去年年初结转资金也减少了634.21万元</w:t>
      </w:r>
      <w:r>
        <w:rPr>
          <w:rFonts w:hint="eastAsia" w:ascii="仿宋_GB2312" w:hAnsi="ˎ̥" w:eastAsia="仿宋_GB2312"/>
          <w:color w:val="auto"/>
          <w:sz w:val="32"/>
          <w:szCs w:val="32"/>
        </w:rPr>
        <w:t>。</w:t>
      </w:r>
    </w:p>
    <w:p w14:paraId="2499B080">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年末结转结余</w:t>
      </w:r>
      <w:r>
        <w:rPr>
          <w:rFonts w:ascii="仿宋_GB2312" w:hAnsi="ˎ̥" w:eastAsia="仿宋_GB2312"/>
          <w:color w:val="auto"/>
          <w:sz w:val="32"/>
          <w:szCs w:val="32"/>
        </w:rPr>
        <w:t>0.00</w:t>
      </w:r>
      <w:r>
        <w:rPr>
          <w:rFonts w:hint="eastAsia" w:ascii="仿宋_GB2312" w:hAnsi="ˎ̥" w:eastAsia="仿宋_GB2312"/>
          <w:color w:val="auto"/>
          <w:sz w:val="32"/>
          <w:szCs w:val="32"/>
        </w:rPr>
        <w:t>万元，较</w:t>
      </w:r>
      <w:r>
        <w:rPr>
          <w:rFonts w:ascii="仿宋_GB2312" w:hAnsi="ˎ̥" w:eastAsia="仿宋_GB2312"/>
          <w:color w:val="auto"/>
          <w:sz w:val="32"/>
          <w:szCs w:val="32"/>
        </w:rPr>
        <w:t>2023</w:t>
      </w:r>
      <w:r>
        <w:rPr>
          <w:rFonts w:hint="eastAsia" w:ascii="仿宋_GB2312" w:hAnsi="ˎ̥" w:eastAsia="仿宋_GB2312"/>
          <w:color w:val="auto"/>
          <w:sz w:val="32"/>
          <w:szCs w:val="32"/>
        </w:rPr>
        <w:t>年度决算数增加（减少）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2023年年末结转结余为0万元，2024年的年末结转结余为0万元</w:t>
      </w:r>
      <w:r>
        <w:rPr>
          <w:rFonts w:hint="eastAsia" w:ascii="仿宋_GB2312" w:hAnsi="ˎ̥" w:eastAsia="仿宋_GB2312"/>
          <w:color w:val="auto"/>
          <w:sz w:val="32"/>
          <w:szCs w:val="32"/>
        </w:rPr>
        <w:t>。</w:t>
      </w:r>
    </w:p>
    <w:p w14:paraId="2CDEA014">
      <w:pPr>
        <w:spacing w:line="578" w:lineRule="exact"/>
        <w:rPr>
          <w:rFonts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：2024</w:t>
      </w:r>
      <w:r>
        <w:rPr>
          <w:rFonts w:hint="eastAsia" w:ascii="仿宋_GB2312" w:hAnsi="ˎ̥" w:eastAsia="仿宋_GB2312"/>
          <w:color w:val="auto"/>
          <w:sz w:val="32"/>
          <w:szCs w:val="32"/>
        </w:rPr>
        <w:t>年度相关决算数据可取自附件财决公开01、02、03表；</w:t>
      </w:r>
      <w:r>
        <w:rPr>
          <w:rFonts w:ascii="仿宋_GB2312" w:hAnsi="ˎ̥" w:eastAsia="仿宋_GB2312"/>
          <w:color w:val="auto"/>
          <w:sz w:val="32"/>
          <w:szCs w:val="32"/>
        </w:rPr>
        <w:t>2023</w:t>
      </w:r>
      <w:r>
        <w:rPr>
          <w:rFonts w:hint="eastAsia" w:ascii="仿宋_GB2312" w:hAnsi="ˎ̥" w:eastAsia="仿宋_GB2312"/>
          <w:color w:val="auto"/>
          <w:sz w:val="32"/>
          <w:szCs w:val="32"/>
        </w:rPr>
        <w:t>年度相关决算数据可取自</w:t>
      </w:r>
      <w:r>
        <w:rPr>
          <w:rFonts w:ascii="仿宋_GB2312" w:hAnsi="ˎ̥" w:eastAsia="仿宋_GB2312"/>
          <w:color w:val="auto"/>
          <w:sz w:val="32"/>
          <w:szCs w:val="32"/>
        </w:rPr>
        <w:t>2023</w:t>
      </w:r>
      <w:r>
        <w:rPr>
          <w:rFonts w:hint="eastAsia" w:ascii="仿宋_GB2312" w:hAnsi="ˎ̥" w:eastAsia="仿宋_GB2312"/>
          <w:color w:val="auto"/>
          <w:sz w:val="32"/>
          <w:szCs w:val="32"/>
        </w:rPr>
        <w:t>年度部门决算报表财决01表《收入支出决算总表》。）</w:t>
      </w:r>
    </w:p>
    <w:p w14:paraId="781865F7">
      <w:pPr>
        <w:spacing w:line="578" w:lineRule="exact"/>
        <w:ind w:firstLine="640" w:firstLineChars="200"/>
        <w:rPr>
          <w:rFonts w:hint="eastAsia" w:ascii="黑体" w:hAnsi="黑体" w:eastAsia="黑体" w:cs="黑体"/>
          <w:bCs/>
          <w:color w:val="auto"/>
          <w:sz w:val="32"/>
          <w:szCs w:val="32"/>
        </w:rPr>
      </w:pPr>
    </w:p>
    <w:p w14:paraId="5C4C05B9">
      <w:pPr>
        <w:spacing w:line="578" w:lineRule="exact"/>
        <w:ind w:firstLine="640" w:firstLineChars="200"/>
        <w:rPr>
          <w:rFonts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ascii="仿宋_GB2312" w:hAnsi="ˎ̥" w:eastAsia="仿宋_GB2312"/>
          <w:color w:val="auto"/>
          <w:sz w:val="32"/>
          <w:szCs w:val="32"/>
        </w:rPr>
        <w:t>6,180.09</w:t>
      </w:r>
      <w:r>
        <w:rPr>
          <w:rFonts w:hint="eastAsia" w:ascii="仿宋_GB2312" w:hAnsi="ˎ̥" w:eastAsia="仿宋_GB2312"/>
          <w:color w:val="auto"/>
          <w:sz w:val="32"/>
          <w:szCs w:val="32"/>
        </w:rPr>
        <w:t>万元，其中：财政拨款收入</w:t>
      </w:r>
      <w:r>
        <w:rPr>
          <w:rFonts w:ascii="仿宋_GB2312" w:hAnsi="ˎ̥" w:eastAsia="仿宋_GB2312"/>
          <w:color w:val="auto"/>
          <w:sz w:val="32"/>
          <w:szCs w:val="32"/>
        </w:rPr>
        <w:t>5,178.70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84</w:t>
      </w:r>
      <w:r>
        <w:rPr>
          <w:rFonts w:hint="eastAsia" w:ascii="仿宋_GB2312" w:hAnsi="ˎ̥" w:eastAsia="仿宋_GB2312"/>
          <w:color w:val="auto"/>
          <w:sz w:val="32"/>
          <w:szCs w:val="32"/>
        </w:rPr>
        <w:t>%；上级补助收入</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ascii="仿宋_GB2312" w:hAnsi="ˎ̥" w:eastAsia="仿宋_GB2312"/>
          <w:color w:val="auto"/>
          <w:sz w:val="32"/>
          <w:szCs w:val="32"/>
        </w:rPr>
        <w:t>1,001.39</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（援藏资金）</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16</w:t>
      </w:r>
      <w:r>
        <w:rPr>
          <w:rFonts w:hint="eastAsia" w:ascii="仿宋_GB2312" w:hAnsi="ˎ̥" w:eastAsia="仿宋_GB2312"/>
          <w:color w:val="auto"/>
          <w:sz w:val="32"/>
          <w:szCs w:val="32"/>
        </w:rPr>
        <w:t>%。</w:t>
      </w:r>
    </w:p>
    <w:p w14:paraId="22625F3C">
      <w:pPr>
        <w:spacing w:line="578" w:lineRule="exact"/>
        <w:ind w:left="412" w:leftChars="196"/>
        <w:rPr>
          <w:rFonts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p>
    <w:p w14:paraId="3B883499">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34B8B206">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本年支出</w:t>
      </w:r>
      <w:r>
        <w:rPr>
          <w:rFonts w:ascii="仿宋_GB2312" w:hAnsi="ˎ̥" w:eastAsia="仿宋_GB2312"/>
          <w:color w:val="auto"/>
          <w:sz w:val="32"/>
          <w:szCs w:val="32"/>
        </w:rPr>
        <w:t>6,349.36</w:t>
      </w:r>
      <w:r>
        <w:rPr>
          <w:rFonts w:hint="eastAsia" w:ascii="仿宋_GB2312" w:hAnsi="ˎ̥" w:eastAsia="仿宋_GB2312"/>
          <w:color w:val="auto"/>
          <w:sz w:val="32"/>
          <w:szCs w:val="32"/>
        </w:rPr>
        <w:t>万元，其中：基本支出</w:t>
      </w:r>
      <w:r>
        <w:rPr>
          <w:rFonts w:ascii="仿宋_GB2312" w:hAnsi="ˎ̥" w:eastAsia="仿宋_GB2312"/>
          <w:color w:val="auto"/>
          <w:sz w:val="32"/>
          <w:szCs w:val="32"/>
        </w:rPr>
        <w:t>1,550.92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24</w:t>
      </w:r>
      <w:r>
        <w:rPr>
          <w:rFonts w:hint="eastAsia" w:ascii="仿宋_GB2312" w:hAnsi="ˎ̥" w:eastAsia="仿宋_GB2312"/>
          <w:color w:val="auto"/>
          <w:sz w:val="32"/>
          <w:szCs w:val="32"/>
        </w:rPr>
        <w:t>%；项目支出</w:t>
      </w:r>
      <w:r>
        <w:rPr>
          <w:rFonts w:ascii="仿宋_GB2312" w:hAnsi="ˎ̥" w:eastAsia="仿宋_GB2312"/>
          <w:color w:val="auto"/>
          <w:sz w:val="32"/>
          <w:szCs w:val="32"/>
        </w:rPr>
        <w:t>4,798.44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76</w:t>
      </w:r>
      <w:r>
        <w:rPr>
          <w:rFonts w:hint="eastAsia" w:ascii="仿宋_GB2312" w:hAnsi="ˎ̥" w:eastAsia="仿宋_GB2312"/>
          <w:color w:val="auto"/>
          <w:sz w:val="32"/>
          <w:szCs w:val="32"/>
        </w:rPr>
        <w:t>%；上缴上级支出</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20CB6005">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p>
    <w:p w14:paraId="348CE0AE">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0AFE8043">
      <w:pPr>
        <w:snapToGrid w:val="0"/>
        <w:spacing w:line="520"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年度财政拨款收入</w:t>
      </w:r>
      <w:r>
        <w:rPr>
          <w:rFonts w:ascii="仿宋_GB2312" w:hAnsi="ˎ̥" w:eastAsia="仿宋_GB2312"/>
          <w:color w:val="auto"/>
          <w:sz w:val="32"/>
          <w:szCs w:val="32"/>
        </w:rPr>
        <w:t>5,178.70</w:t>
      </w:r>
      <w:r>
        <w:rPr>
          <w:rFonts w:hint="eastAsia" w:ascii="仿宋_GB2312" w:hAnsi="ˎ̥" w:eastAsia="仿宋_GB2312"/>
          <w:color w:val="auto"/>
          <w:sz w:val="32"/>
          <w:szCs w:val="32"/>
        </w:rPr>
        <w:t>万元，支出</w:t>
      </w:r>
      <w:r>
        <w:rPr>
          <w:rFonts w:ascii="仿宋_GB2312" w:hAnsi="ˎ̥" w:eastAsia="仿宋_GB2312"/>
          <w:color w:val="auto"/>
          <w:sz w:val="32"/>
          <w:szCs w:val="32"/>
        </w:rPr>
        <w:t>5,347.97</w:t>
      </w:r>
      <w:r>
        <w:rPr>
          <w:rFonts w:hint="eastAsia" w:ascii="仿宋_GB2312" w:hAnsi="ˎ̥" w:eastAsia="仿宋_GB2312"/>
          <w:color w:val="auto"/>
          <w:sz w:val="32"/>
          <w:szCs w:val="32"/>
        </w:rPr>
        <w:t>万元。与</w:t>
      </w:r>
      <w:r>
        <w:rPr>
          <w:rFonts w:ascii="仿宋_GB2312" w:hAnsi="ˎ̥" w:eastAsia="仿宋_GB2312"/>
          <w:color w:val="auto"/>
          <w:sz w:val="32"/>
          <w:szCs w:val="32"/>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2932.79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130.58</w:t>
      </w:r>
      <w:r>
        <w:rPr>
          <w:rFonts w:hint="eastAsia" w:ascii="仿宋_GB2312" w:hAnsi="ˎ̥" w:eastAsia="仿宋_GB2312"/>
          <w:color w:val="auto"/>
          <w:sz w:val="32"/>
          <w:szCs w:val="32"/>
        </w:rPr>
        <w:t>%，主要原因：</w:t>
      </w:r>
      <w:r>
        <w:rPr>
          <w:rFonts w:hint="eastAsia" w:ascii="仿宋_GB2312" w:hAnsi="ˎ̥" w:eastAsia="仿宋_GB2312"/>
          <w:b/>
          <w:bCs/>
          <w:color w:val="auto"/>
          <w:sz w:val="32"/>
          <w:szCs w:val="32"/>
          <w:lang w:eastAsia="zh-CN"/>
        </w:rPr>
        <w:t>一是</w:t>
      </w:r>
      <w:r>
        <w:rPr>
          <w:rFonts w:hint="eastAsia" w:ascii="仿宋" w:hAnsi="仿宋" w:eastAsia="仿宋"/>
          <w:color w:val="auto"/>
          <w:sz w:val="32"/>
          <w:szCs w:val="32"/>
        </w:rPr>
        <w:t>单位本年</w:t>
      </w:r>
      <w:r>
        <w:rPr>
          <w:rFonts w:hint="eastAsia" w:ascii="仿宋_GB2312" w:hAnsi="ˎ̥" w:eastAsia="仿宋_GB2312"/>
          <w:color w:val="auto"/>
          <w:sz w:val="32"/>
          <w:szCs w:val="32"/>
        </w:rPr>
        <w:t>财政拨款收入</w:t>
      </w:r>
      <w:r>
        <w:rPr>
          <w:rFonts w:ascii="仿宋_GB2312" w:hAnsi="ˎ̥" w:eastAsia="仿宋_GB2312"/>
          <w:color w:val="auto"/>
          <w:sz w:val="32"/>
          <w:szCs w:val="32"/>
        </w:rPr>
        <w:t>5,178.70</w:t>
      </w:r>
      <w:r>
        <w:rPr>
          <w:rFonts w:hint="eastAsia" w:ascii="仿宋_GB2312" w:hAnsi="ˎ̥" w:eastAsia="仿宋_GB2312"/>
          <w:color w:val="auto"/>
          <w:sz w:val="32"/>
          <w:szCs w:val="32"/>
        </w:rPr>
        <w:t>万元</w:t>
      </w:r>
      <w:r>
        <w:rPr>
          <w:rFonts w:hint="eastAsia" w:ascii="仿宋" w:hAnsi="仿宋" w:eastAsia="仿宋"/>
          <w:color w:val="auto"/>
          <w:sz w:val="32"/>
          <w:szCs w:val="32"/>
        </w:rPr>
        <w:t>，其中基本</w:t>
      </w:r>
      <w:r>
        <w:rPr>
          <w:rFonts w:hint="eastAsia" w:ascii="仿宋" w:hAnsi="仿宋" w:eastAsia="仿宋"/>
          <w:color w:val="auto"/>
          <w:sz w:val="32"/>
          <w:szCs w:val="32"/>
          <w:lang w:eastAsia="zh-CN"/>
        </w:rPr>
        <w:t>收入</w:t>
      </w:r>
      <w:r>
        <w:rPr>
          <w:rFonts w:hint="eastAsia" w:ascii="仿宋" w:hAnsi="仿宋" w:eastAsia="仿宋"/>
          <w:color w:val="auto"/>
          <w:sz w:val="32"/>
          <w:szCs w:val="32"/>
        </w:rPr>
        <w:t>1550.92万元，项目</w:t>
      </w:r>
      <w:r>
        <w:rPr>
          <w:rFonts w:hint="eastAsia" w:ascii="仿宋" w:hAnsi="仿宋" w:eastAsia="仿宋"/>
          <w:color w:val="auto"/>
          <w:sz w:val="32"/>
          <w:szCs w:val="32"/>
          <w:lang w:eastAsia="zh-CN"/>
        </w:rPr>
        <w:t>收入</w:t>
      </w:r>
      <w:r>
        <w:rPr>
          <w:rFonts w:hint="eastAsia" w:ascii="仿宋" w:hAnsi="仿宋" w:eastAsia="仿宋"/>
          <w:color w:val="auto"/>
          <w:sz w:val="32"/>
          <w:szCs w:val="32"/>
        </w:rPr>
        <w:t>4798.44万元。比起往年今年的支出整体有所增加，存量资金</w:t>
      </w:r>
      <w:r>
        <w:rPr>
          <w:rFonts w:hint="eastAsia" w:ascii="仿宋" w:hAnsi="仿宋" w:eastAsia="仿宋"/>
          <w:color w:val="auto"/>
          <w:sz w:val="32"/>
          <w:szCs w:val="32"/>
          <w:lang w:eastAsia="zh-CN"/>
        </w:rPr>
        <w:t>收入</w:t>
      </w:r>
      <w:r>
        <w:rPr>
          <w:rFonts w:hint="eastAsia" w:ascii="仿宋" w:hAnsi="仿宋" w:eastAsia="仿宋"/>
          <w:color w:val="auto"/>
          <w:sz w:val="32"/>
          <w:szCs w:val="32"/>
        </w:rPr>
        <w:t>169.27万元、新增项目格萨尔赛马场提升改造项目资金为2496.39万元。</w:t>
      </w:r>
      <w:r>
        <w:rPr>
          <w:rFonts w:hint="eastAsia" w:ascii="仿宋" w:hAnsi="仿宋" w:eastAsia="仿宋"/>
          <w:b/>
          <w:color w:val="auto"/>
          <w:sz w:val="32"/>
          <w:szCs w:val="32"/>
        </w:rPr>
        <w:t>二是</w:t>
      </w:r>
      <w:r>
        <w:rPr>
          <w:rFonts w:hint="eastAsia" w:ascii="仿宋" w:hAnsi="仿宋" w:eastAsia="仿宋"/>
          <w:color w:val="auto"/>
          <w:sz w:val="32"/>
          <w:szCs w:val="32"/>
        </w:rPr>
        <w:t>收入支出与上年度对比情况人员支出减少39.20%，主要原因为2023年有工资福利增加的部分一次性兑现的原因；公用经费减少2.29%，主要原因为减少办公物品购买经费；项目支出增加40.47%，赛马节活动经费资金支出为922.23万元。</w:t>
      </w:r>
    </w:p>
    <w:p w14:paraId="63ED6B2F">
      <w:pPr>
        <w:snapToGrid w:val="0"/>
        <w:spacing w:line="520"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3262.70</w:t>
      </w:r>
      <w:r>
        <w:rPr>
          <w:rFonts w:hint="eastAsia" w:ascii="仿宋_GB2312" w:hAnsi="ˎ̥" w:eastAsia="仿宋_GB2312"/>
          <w:color w:val="auto"/>
          <w:sz w:val="32"/>
          <w:szCs w:val="32"/>
        </w:rPr>
        <w:t>万元，增长增长</w:t>
      </w:r>
      <w:r>
        <w:rPr>
          <w:rFonts w:hint="eastAsia" w:ascii="仿宋_GB2312" w:hAnsi="ˎ̥" w:eastAsia="仿宋_GB2312"/>
          <w:color w:val="auto"/>
          <w:sz w:val="32"/>
          <w:szCs w:val="32"/>
          <w:lang w:val="en-US" w:eastAsia="zh-CN"/>
        </w:rPr>
        <w:t>105.70</w:t>
      </w:r>
      <w:r>
        <w:rPr>
          <w:rFonts w:hint="eastAsia" w:ascii="仿宋_GB2312" w:hAnsi="ˎ̥" w:eastAsia="仿宋_GB2312"/>
          <w:color w:val="auto"/>
          <w:sz w:val="32"/>
          <w:szCs w:val="32"/>
        </w:rPr>
        <w:t>%，主要原因：</w:t>
      </w:r>
      <w:r>
        <w:rPr>
          <w:rFonts w:hint="eastAsia" w:ascii="仿宋_GB2312" w:hAnsi="ˎ̥" w:eastAsia="仿宋_GB2312"/>
          <w:b/>
          <w:bCs/>
          <w:color w:val="auto"/>
          <w:sz w:val="32"/>
          <w:szCs w:val="32"/>
          <w:lang w:eastAsia="zh-CN"/>
        </w:rPr>
        <w:t>一是</w:t>
      </w:r>
      <w:r>
        <w:rPr>
          <w:rFonts w:hint="eastAsia" w:ascii="仿宋" w:hAnsi="仿宋" w:eastAsia="仿宋"/>
          <w:color w:val="auto"/>
          <w:sz w:val="32"/>
          <w:szCs w:val="32"/>
        </w:rPr>
        <w:t>单位本年支出为6349.36万元，其中基本支出1550.92万元，项目支出4798.44万元。比起往年今年的支出整体有所增加，主要原因为本年有援藏资金支出为1001.39万元、存量资金支出为169.27万元、新增项目格萨尔赛马场提升改造项目资金为2496.39万元，其中今年支出2086.22万元、赛马节活动经费资金为922.23万元，今年全部已支出完成。</w:t>
      </w:r>
      <w:r>
        <w:rPr>
          <w:rFonts w:hint="eastAsia" w:ascii="仿宋" w:hAnsi="仿宋" w:eastAsia="仿宋"/>
          <w:b/>
          <w:color w:val="auto"/>
          <w:sz w:val="32"/>
          <w:szCs w:val="32"/>
        </w:rPr>
        <w:t>二是</w:t>
      </w:r>
      <w:r>
        <w:rPr>
          <w:rFonts w:hint="eastAsia" w:ascii="仿宋" w:hAnsi="仿宋" w:eastAsia="仿宋"/>
          <w:color w:val="auto"/>
          <w:sz w:val="32"/>
          <w:szCs w:val="32"/>
        </w:rPr>
        <w:t>收入支出与上年度对比情况人员支出减少39.20%，主要原因为2023年有工资福利增加的部分一次性兑现的原因；公用经费减少2.29%，主要原因为减少办公物品购买经费；项目支出增加40.47%，主要原因为今年有新增项目格萨尔赛马场提升改造项目资金支出2086.22万元、赛马节活动经费资金支出为922.23万元。</w:t>
      </w:r>
    </w:p>
    <w:p w14:paraId="3E94B236">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ascii="仿宋_GB2312" w:hAnsi="ˎ̥" w:eastAsia="仿宋_GB2312"/>
          <w:color w:val="auto"/>
          <w:sz w:val="32"/>
          <w:szCs w:val="32"/>
        </w:rPr>
        <w:t>169.27</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结余资金</w:t>
      </w:r>
      <w:r>
        <w:rPr>
          <w:rFonts w:hint="eastAsia" w:ascii="仿宋_GB2312" w:hAnsi="ˎ̥" w:eastAsia="仿宋_GB2312"/>
          <w:color w:val="auto"/>
          <w:sz w:val="32"/>
          <w:szCs w:val="32"/>
          <w:lang w:val="en-US" w:eastAsia="zh-CN"/>
        </w:rPr>
        <w:t>169.27万元都为</w:t>
      </w:r>
      <w:r>
        <w:rPr>
          <w:rFonts w:hint="eastAsia" w:ascii="仿宋" w:hAnsi="仿宋" w:eastAsia="仿宋"/>
          <w:color w:val="auto"/>
          <w:sz w:val="32"/>
          <w:szCs w:val="32"/>
        </w:rPr>
        <w:t>财政存量资金</w:t>
      </w:r>
      <w:r>
        <w:rPr>
          <w:rFonts w:hint="eastAsia" w:ascii="仿宋" w:hAnsi="仿宋" w:eastAsia="仿宋"/>
          <w:color w:val="auto"/>
          <w:sz w:val="32"/>
          <w:szCs w:val="32"/>
          <w:lang w:eastAsia="zh-CN"/>
        </w:rPr>
        <w:t>，其主要用于</w:t>
      </w:r>
      <w:r>
        <w:rPr>
          <w:rFonts w:hint="eastAsia" w:ascii="仿宋" w:hAnsi="仿宋" w:eastAsia="仿宋"/>
          <w:color w:val="auto"/>
          <w:sz w:val="32"/>
          <w:szCs w:val="32"/>
          <w:lang w:val="en-US" w:eastAsia="zh-CN"/>
        </w:rPr>
        <w:t>:1、</w:t>
      </w:r>
      <w:r>
        <w:rPr>
          <w:rFonts w:hint="eastAsia" w:ascii="仿宋_GB2312" w:hAnsi="ˎ̥" w:eastAsia="仿宋_GB2312"/>
          <w:color w:val="auto"/>
          <w:sz w:val="32"/>
          <w:szCs w:val="32"/>
          <w:lang w:eastAsia="zh-CN"/>
        </w:rPr>
        <w:t>基层党建组织建设工作现场会资金</w:t>
      </w:r>
      <w:r>
        <w:rPr>
          <w:rFonts w:hint="eastAsia" w:ascii="仿宋_GB2312" w:hAnsi="ˎ̥" w:eastAsia="仿宋_GB2312"/>
          <w:color w:val="auto"/>
          <w:sz w:val="32"/>
          <w:szCs w:val="32"/>
          <w:lang w:val="en-US" w:eastAsia="zh-CN"/>
        </w:rPr>
        <w:t>9.33万元；2、西部志愿生活补助和去世者某某同志的安葬费和抚恤金、抚养费及班禅出生地修缮保护工程建设总共47.38万元；3、那曲市色尼区夯措、拔绒沟、嘎尔德牧业基地三个A级旅游景区规划创建申报采购项目资金37.50万元；4、那曲市色尼区桑丹康桑景区基础建设项目、文化旅游基础设备项目草原征战补办、乡镇驿站建设项目（罗岗村）新增建设用地有偿使用费资金73.66万元；5、失业保险配套资金1.40万元。</w:t>
      </w:r>
      <w:r>
        <w:rPr>
          <w:rFonts w:hint="eastAsia" w:ascii="仿宋_GB2312" w:hAnsi="ˎ̥" w:eastAsia="仿宋_GB2312"/>
          <w:color w:val="auto"/>
          <w:sz w:val="32"/>
          <w:szCs w:val="32"/>
        </w:rPr>
        <w:t>较</w:t>
      </w:r>
      <w:r>
        <w:rPr>
          <w:rFonts w:ascii="仿宋_GB2312" w:hAnsi="ˎ̥" w:eastAsia="仿宋_GB2312"/>
          <w:color w:val="auto"/>
          <w:sz w:val="32"/>
          <w:szCs w:val="32"/>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634.21</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75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2023年结转结余有803.48万元，2024年年初结转资金只有169.27万元，项目完工率比去年增加，同比去年年初结转资金也减少了634.21万元</w:t>
      </w:r>
      <w:r>
        <w:rPr>
          <w:rFonts w:hint="eastAsia" w:ascii="仿宋_GB2312" w:hAnsi="ˎ̥" w:eastAsia="仿宋_GB2312"/>
          <w:color w:val="auto"/>
          <w:sz w:val="32"/>
          <w:szCs w:val="32"/>
        </w:rPr>
        <w:t>。</w:t>
      </w:r>
    </w:p>
    <w:p w14:paraId="116A492D">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ascii="仿宋_GB2312" w:hAnsi="ˎ̥" w:eastAsia="仿宋_GB2312"/>
          <w:color w:val="auto"/>
          <w:sz w:val="32"/>
          <w:szCs w:val="32"/>
        </w:rPr>
        <w:t>0.00</w:t>
      </w:r>
      <w:r>
        <w:rPr>
          <w:rFonts w:hint="eastAsia" w:ascii="仿宋_GB2312" w:hAnsi="ˎ̥" w:eastAsia="仿宋_GB2312"/>
          <w:color w:val="auto"/>
          <w:sz w:val="32"/>
          <w:szCs w:val="32"/>
        </w:rPr>
        <w:t>万元，较</w:t>
      </w:r>
      <w:r>
        <w:rPr>
          <w:rFonts w:ascii="仿宋_GB2312" w:hAnsi="ˎ̥" w:eastAsia="仿宋_GB2312"/>
          <w:color w:val="auto"/>
          <w:sz w:val="32"/>
          <w:szCs w:val="32"/>
        </w:rPr>
        <w:t>2023</w:t>
      </w:r>
      <w:r>
        <w:rPr>
          <w:rFonts w:hint="eastAsia" w:ascii="仿宋_GB2312" w:hAnsi="ˎ̥" w:eastAsia="仿宋_GB2312"/>
          <w:color w:val="auto"/>
          <w:sz w:val="32"/>
          <w:szCs w:val="32"/>
        </w:rPr>
        <w:t>年度决算数增加（减少）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%。（注</w:t>
      </w:r>
      <w:r>
        <w:rPr>
          <w:rFonts w:ascii="仿宋_GB2312" w:hAnsi="ˎ̥" w:eastAsia="仿宋_GB2312"/>
          <w:color w:val="auto"/>
          <w:sz w:val="32"/>
          <w:szCs w:val="32"/>
        </w:rPr>
        <w:t>：2024</w:t>
      </w:r>
      <w:r>
        <w:rPr>
          <w:rFonts w:hint="eastAsia" w:ascii="仿宋_GB2312" w:hAnsi="ˎ̥" w:eastAsia="仿宋_GB2312"/>
          <w:color w:val="auto"/>
          <w:sz w:val="32"/>
          <w:szCs w:val="32"/>
        </w:rPr>
        <w:t>年度决算相关数据可取自财决公开04表。</w:t>
      </w:r>
      <w:r>
        <w:rPr>
          <w:rFonts w:ascii="仿宋_GB2312" w:hAnsi="ˎ̥" w:eastAsia="仿宋_GB2312"/>
          <w:color w:val="auto"/>
          <w:sz w:val="32"/>
          <w:szCs w:val="32"/>
        </w:rPr>
        <w:t>2023</w:t>
      </w:r>
      <w:r>
        <w:rPr>
          <w:rFonts w:hint="eastAsia" w:ascii="仿宋_GB2312" w:hAnsi="ˎ̥" w:eastAsia="仿宋_GB2312"/>
          <w:color w:val="auto"/>
          <w:sz w:val="32"/>
          <w:szCs w:val="32"/>
        </w:rPr>
        <w:t>年度决算相关数据可取自</w:t>
      </w:r>
      <w:r>
        <w:rPr>
          <w:rFonts w:ascii="仿宋_GB2312" w:hAnsi="ˎ̥" w:eastAsia="仿宋_GB2312"/>
          <w:color w:val="auto"/>
          <w:sz w:val="32"/>
          <w:szCs w:val="32"/>
        </w:rPr>
        <w:t>2023</w:t>
      </w:r>
      <w:r>
        <w:rPr>
          <w:rFonts w:hint="eastAsia" w:ascii="仿宋_GB2312" w:hAnsi="ˎ̥" w:eastAsia="仿宋_GB2312"/>
          <w:color w:val="auto"/>
          <w:sz w:val="32"/>
          <w:szCs w:val="32"/>
        </w:rPr>
        <w:t>年度部门决算报表财决01-1表《财政拨款收入支出决算总表》。）</w:t>
      </w:r>
    </w:p>
    <w:p w14:paraId="14E5C20E">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20472024">
      <w:pPr>
        <w:spacing w:line="578" w:lineRule="exact"/>
        <w:ind w:firstLine="640" w:firstLineChars="200"/>
        <w:rPr>
          <w:rFonts w:ascii="楷体" w:hAnsi="楷体" w:eastAsia="楷体" w:cs="楷体"/>
          <w:color w:val="auto"/>
          <w:sz w:val="32"/>
          <w:szCs w:val="32"/>
        </w:rPr>
      </w:pPr>
      <w:bookmarkStart w:id="79" w:name="_Toc19665_WPSOffice_Level2"/>
      <w:bookmarkStart w:id="80" w:name="_Toc17398_WPSOffice_Level2"/>
      <w:bookmarkStart w:id="81" w:name="_Toc21737_WPSOffice_Level2"/>
      <w:bookmarkStart w:id="82" w:name="_Toc13694_WPSOffice_Level2"/>
      <w:bookmarkStart w:id="83" w:name="_Toc23005_WPSOffice_Level2"/>
      <w:bookmarkStart w:id="84" w:name="_Toc9989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14:paraId="258A561A">
      <w:pPr>
        <w:snapToGrid w:val="0"/>
        <w:spacing w:line="520"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年度一般公共预算财政拨款支出</w:t>
      </w:r>
      <w:r>
        <w:rPr>
          <w:rFonts w:ascii="仿宋_GB2312" w:hAnsi="ˎ̥" w:eastAsia="仿宋_GB2312"/>
          <w:color w:val="auto"/>
          <w:sz w:val="32"/>
          <w:szCs w:val="32"/>
        </w:rPr>
        <w:t>5,347.97</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84</w:t>
      </w:r>
      <w:r>
        <w:rPr>
          <w:rFonts w:hint="eastAsia" w:ascii="仿宋_GB2312" w:hAnsi="ˎ̥" w:eastAsia="仿宋_GB2312"/>
          <w:color w:val="auto"/>
          <w:sz w:val="32"/>
          <w:szCs w:val="32"/>
        </w:rPr>
        <w:t>%。与</w:t>
      </w:r>
      <w:r>
        <w:rPr>
          <w:rFonts w:ascii="仿宋_GB2312" w:hAnsi="ˎ̥" w:eastAsia="仿宋_GB2312"/>
          <w:color w:val="auto"/>
          <w:sz w:val="32"/>
          <w:szCs w:val="32"/>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3262.70</w:t>
      </w:r>
      <w:r>
        <w:rPr>
          <w:rFonts w:hint="eastAsia" w:ascii="仿宋_GB2312" w:hAnsi="ˎ̥" w:eastAsia="仿宋_GB2312"/>
          <w:color w:val="auto"/>
          <w:sz w:val="32"/>
          <w:szCs w:val="32"/>
        </w:rPr>
        <w:t>万元，增长增长</w:t>
      </w:r>
      <w:r>
        <w:rPr>
          <w:rFonts w:hint="eastAsia" w:ascii="仿宋_GB2312" w:hAnsi="ˎ̥" w:eastAsia="仿宋_GB2312"/>
          <w:color w:val="auto"/>
          <w:sz w:val="32"/>
          <w:szCs w:val="32"/>
          <w:lang w:val="en-US" w:eastAsia="zh-CN"/>
        </w:rPr>
        <w:t>105.70</w:t>
      </w:r>
      <w:r>
        <w:rPr>
          <w:rFonts w:hint="eastAsia" w:ascii="仿宋_GB2312" w:hAnsi="ˎ̥" w:eastAsia="仿宋_GB2312"/>
          <w:color w:val="auto"/>
          <w:sz w:val="32"/>
          <w:szCs w:val="32"/>
        </w:rPr>
        <w:t>%，主要原因：</w:t>
      </w:r>
      <w:r>
        <w:rPr>
          <w:rFonts w:hint="eastAsia" w:ascii="仿宋_GB2312" w:hAnsi="ˎ̥" w:eastAsia="仿宋_GB2312"/>
          <w:b/>
          <w:bCs/>
          <w:color w:val="auto"/>
          <w:sz w:val="32"/>
          <w:szCs w:val="32"/>
          <w:lang w:eastAsia="zh-CN"/>
        </w:rPr>
        <w:t>一是</w:t>
      </w:r>
      <w:r>
        <w:rPr>
          <w:rFonts w:hint="eastAsia" w:ascii="仿宋" w:hAnsi="仿宋" w:eastAsia="仿宋"/>
          <w:color w:val="auto"/>
          <w:sz w:val="32"/>
          <w:szCs w:val="32"/>
        </w:rPr>
        <w:t>单位本年支出为6349.36万元，其中基本支出1550.92万元，项目支出4798.44万元。比起往年今年的支出整体有所增加，主要原因为本年有援藏资金支出为1001.39万元、存量资金支出为169.27万元、新增项目格萨尔赛马场提升改造项目资金为2496.39万元，其中今年支出2086.22万元、赛马节活动经费资金为922.23万元，今年全部已支出完成。</w:t>
      </w:r>
      <w:r>
        <w:rPr>
          <w:rFonts w:hint="eastAsia" w:ascii="仿宋" w:hAnsi="仿宋" w:eastAsia="仿宋"/>
          <w:b/>
          <w:color w:val="auto"/>
          <w:sz w:val="32"/>
          <w:szCs w:val="32"/>
        </w:rPr>
        <w:t>二是</w:t>
      </w:r>
      <w:r>
        <w:rPr>
          <w:rFonts w:hint="eastAsia" w:ascii="仿宋" w:hAnsi="仿宋" w:eastAsia="仿宋"/>
          <w:color w:val="auto"/>
          <w:sz w:val="32"/>
          <w:szCs w:val="32"/>
        </w:rPr>
        <w:t>收入支出与上年度对比情况人员支出减少39.20%，主要原因为2023年有工资福利增加的部分一次性兑现的原因；公用经费减少2.29%，主要原因为减少办公物品购买经费；项目支出增加40.47%，主要原因为今年有新增项目格萨尔赛马场提升改造项目资金支出2086.22万元、赛马节活动经费资金支出为922.23万元。</w:t>
      </w:r>
    </w:p>
    <w:p w14:paraId="7CD3F51A">
      <w:pPr>
        <w:spacing w:line="578" w:lineRule="exact"/>
        <w:ind w:firstLine="640" w:firstLineChars="200"/>
        <w:rPr>
          <w:rFonts w:ascii="仿宋_GB2312" w:hAnsi="ˎ̥" w:eastAsia="仿宋_GB2312"/>
          <w:color w:val="auto"/>
          <w:sz w:val="32"/>
          <w:szCs w:val="32"/>
        </w:rPr>
      </w:pPr>
    </w:p>
    <w:p w14:paraId="77BD5306">
      <w:pPr>
        <w:spacing w:line="578" w:lineRule="exact"/>
        <w:ind w:firstLine="640" w:firstLineChars="200"/>
        <w:rPr>
          <w:rFonts w:ascii="楷体" w:hAnsi="楷体" w:eastAsia="楷体" w:cs="楷体"/>
          <w:color w:val="auto"/>
          <w:sz w:val="32"/>
          <w:szCs w:val="32"/>
        </w:rPr>
      </w:pPr>
      <w:bookmarkStart w:id="85" w:name="_Toc19535_WPSOffice_Level2"/>
      <w:bookmarkStart w:id="86" w:name="_Toc27767_WPSOffice_Level2"/>
      <w:bookmarkStart w:id="87" w:name="_Toc23864_WPSOffice_Level2"/>
      <w:bookmarkStart w:id="88" w:name="_Toc2711_WPSOffice_Level2"/>
      <w:bookmarkStart w:id="89" w:name="_Toc18793_WPSOffice_Level2"/>
      <w:bookmarkStart w:id="90" w:name="_Toc19075_WPSOffice_Level2"/>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14:paraId="168ADC4C">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年度一般公共预算财政拨款支出</w:t>
      </w:r>
      <w:r>
        <w:rPr>
          <w:rFonts w:ascii="仿宋_GB2312" w:hAnsi="ˎ̥" w:eastAsia="仿宋_GB2312"/>
          <w:color w:val="auto"/>
          <w:sz w:val="32"/>
          <w:szCs w:val="32"/>
        </w:rPr>
        <w:t>5,347.97</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9.33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0.0017</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252.79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0.05</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103.37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0.02</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文化旅游体育与传媒</w:t>
      </w:r>
      <w:r>
        <w:rPr>
          <w:rFonts w:hint="eastAsia" w:ascii="仿宋_GB2312" w:hAnsi="ˎ̥" w:eastAsia="仿宋_GB2312"/>
          <w:b/>
          <w:color w:val="auto"/>
          <w:sz w:val="32"/>
          <w:szCs w:val="32"/>
        </w:rPr>
        <w:t>（类）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4891.87万元，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91.47</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lang w:eastAsia="zh-CN"/>
        </w:rPr>
        <w:t>卫生与健康</w:t>
      </w:r>
      <w:r>
        <w:rPr>
          <w:rFonts w:hint="eastAsia" w:ascii="仿宋_GB2312" w:hAnsi="ˎ̥" w:eastAsia="仿宋_GB2312"/>
          <w:b/>
          <w:color w:val="auto"/>
          <w:sz w:val="32"/>
          <w:szCs w:val="32"/>
        </w:rPr>
        <w:t>（类）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75.17万元，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0.01</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lang w:eastAsia="zh-CN"/>
        </w:rPr>
        <w:t>农林水支出</w:t>
      </w:r>
      <w:r>
        <w:rPr>
          <w:rFonts w:hint="eastAsia" w:ascii="仿宋_GB2312" w:hAnsi="ˎ̥" w:eastAsia="仿宋_GB2312"/>
          <w:b/>
          <w:color w:val="auto"/>
          <w:sz w:val="32"/>
          <w:szCs w:val="32"/>
        </w:rPr>
        <w:t>（类）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15.43万元，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0.003</w:t>
      </w:r>
      <w:r>
        <w:rPr>
          <w:rFonts w:hint="eastAsia" w:ascii="仿宋_GB2312" w:hAnsi="ˎ̥" w:eastAsia="仿宋_GB2312"/>
          <w:color w:val="auto"/>
          <w:sz w:val="32"/>
          <w:szCs w:val="32"/>
        </w:rPr>
        <w:t>%。</w:t>
      </w:r>
    </w:p>
    <w:p w14:paraId="1660BFE7">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根据各预算部门、单位实际支出涉及的支出功能分类类级科目填列。）</w:t>
      </w:r>
    </w:p>
    <w:p w14:paraId="47489D7D">
      <w:pPr>
        <w:spacing w:line="578" w:lineRule="exact"/>
        <w:ind w:firstLine="640" w:firstLineChars="200"/>
        <w:rPr>
          <w:rFonts w:ascii="楷体" w:hAnsi="楷体" w:eastAsia="楷体" w:cs="楷体"/>
          <w:color w:val="auto"/>
          <w:sz w:val="32"/>
          <w:szCs w:val="32"/>
          <w:highlight w:val="none"/>
        </w:rPr>
      </w:pPr>
      <w:bookmarkStart w:id="91" w:name="_Toc25136_WPSOffice_Level2"/>
      <w:bookmarkStart w:id="92" w:name="_Toc15415_WPSOffice_Level2"/>
      <w:bookmarkStart w:id="93" w:name="_Toc9502_WPSOffice_Level2"/>
      <w:bookmarkStart w:id="94" w:name="_Toc22318_WPSOffice_Level2"/>
      <w:bookmarkStart w:id="95" w:name="_Toc21701_WPSOffice_Level2"/>
      <w:bookmarkStart w:id="96" w:name="_Toc29364_WPSOffice_Level2"/>
      <w:r>
        <w:rPr>
          <w:rFonts w:hint="eastAsia" w:ascii="楷体" w:hAnsi="楷体" w:eastAsia="楷体" w:cs="楷体"/>
          <w:color w:val="auto"/>
          <w:sz w:val="32"/>
          <w:szCs w:val="32"/>
          <w:highlight w:val="none"/>
        </w:rPr>
        <w:t>（三）一般公共预算财政拨款支出决算具体情况</w:t>
      </w:r>
      <w:bookmarkEnd w:id="91"/>
      <w:bookmarkEnd w:id="92"/>
      <w:bookmarkEnd w:id="93"/>
      <w:bookmarkEnd w:id="94"/>
      <w:bookmarkEnd w:id="95"/>
      <w:bookmarkEnd w:id="96"/>
    </w:p>
    <w:p w14:paraId="18852207">
      <w:pPr>
        <w:spacing w:line="578" w:lineRule="exact"/>
        <w:ind w:firstLine="640" w:firstLineChars="200"/>
        <w:rPr>
          <w:rFonts w:ascii="仿宋_GB2312" w:hAnsi="ˎ̥" w:eastAsia="仿宋_GB2312"/>
          <w:color w:val="auto"/>
          <w:sz w:val="32"/>
          <w:szCs w:val="32"/>
          <w:highlight w:val="none"/>
        </w:rPr>
      </w:pPr>
      <w:r>
        <w:rPr>
          <w:rFonts w:ascii="仿宋_GB2312" w:hAnsi="ˎ̥" w:eastAsia="仿宋_GB2312"/>
          <w:color w:val="auto"/>
          <w:sz w:val="32"/>
          <w:szCs w:val="32"/>
          <w:highlight w:val="none"/>
        </w:rPr>
        <w:t>2024</w:t>
      </w:r>
      <w:r>
        <w:rPr>
          <w:rFonts w:hint="eastAsia" w:ascii="仿宋_GB2312" w:hAnsi="ˎ̥" w:eastAsia="仿宋_GB2312"/>
          <w:color w:val="auto"/>
          <w:sz w:val="32"/>
          <w:szCs w:val="32"/>
          <w:highlight w:val="none"/>
        </w:rPr>
        <w:t>年度一般公共预算财政拨款支出年初预算为</w:t>
      </w:r>
      <w:r>
        <w:rPr>
          <w:rFonts w:hint="eastAsia" w:ascii="仿宋_GB2312" w:hAnsi="ˎ̥" w:eastAsia="仿宋_GB2312"/>
          <w:color w:val="auto"/>
          <w:sz w:val="32"/>
          <w:szCs w:val="32"/>
          <w:highlight w:val="none"/>
          <w:lang w:val="en-US" w:eastAsia="zh-CN"/>
        </w:rPr>
        <w:t>6349.36</w:t>
      </w:r>
      <w:r>
        <w:rPr>
          <w:rFonts w:hint="eastAsia" w:ascii="仿宋_GB2312" w:hAnsi="ˎ̥" w:eastAsia="仿宋_GB2312"/>
          <w:color w:val="auto"/>
          <w:sz w:val="32"/>
          <w:szCs w:val="32"/>
          <w:highlight w:val="none"/>
        </w:rPr>
        <w:t>万元，支出决算为</w:t>
      </w:r>
      <w:r>
        <w:rPr>
          <w:rFonts w:ascii="仿宋_GB2312" w:hAnsi="ˎ̥" w:eastAsia="仿宋_GB2312"/>
          <w:color w:val="auto"/>
          <w:sz w:val="32"/>
          <w:szCs w:val="32"/>
          <w:highlight w:val="none"/>
        </w:rPr>
        <w:t>5,347.97</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84</w:t>
      </w:r>
      <w:r>
        <w:rPr>
          <w:rFonts w:hint="eastAsia" w:ascii="仿宋_GB2312" w:hAnsi="ˎ̥" w:eastAsia="仿宋_GB2312"/>
          <w:color w:val="auto"/>
          <w:sz w:val="32"/>
          <w:szCs w:val="32"/>
          <w:highlight w:val="none"/>
        </w:rPr>
        <w:t>%。其中：</w:t>
      </w:r>
    </w:p>
    <w:p w14:paraId="28F4B241">
      <w:pPr>
        <w:spacing w:line="578" w:lineRule="exact"/>
        <w:ind w:firstLine="640" w:firstLineChars="200"/>
        <w:rPr>
          <w:rFonts w:ascii="仿宋_GB2312" w:hAnsi="ˎ̥" w:eastAsia="仿宋_GB2312"/>
          <w:b/>
          <w:color w:val="auto"/>
          <w:sz w:val="32"/>
          <w:szCs w:val="32"/>
          <w:highlight w:val="none"/>
        </w:rPr>
      </w:pPr>
      <w:r>
        <w:rPr>
          <w:rFonts w:hint="eastAsia" w:ascii="仿宋_GB2312" w:hAnsi="ˎ̥" w:eastAsia="仿宋_GB2312"/>
          <w:color w:val="auto"/>
          <w:sz w:val="32"/>
          <w:szCs w:val="32"/>
          <w:highlight w:val="none"/>
        </w:rPr>
        <w:t>1.</w:t>
      </w:r>
      <w:r>
        <w:rPr>
          <w:rFonts w:hint="eastAsia" w:ascii="仿宋_GB2312" w:hAnsi="ˎ̥" w:eastAsia="仿宋_GB2312"/>
          <w:b/>
          <w:color w:val="auto"/>
          <w:sz w:val="32"/>
          <w:szCs w:val="32"/>
          <w:highlight w:val="none"/>
        </w:rPr>
        <w:t>一般公共服务（类）。</w:t>
      </w:r>
    </w:p>
    <w:p w14:paraId="000E7FFE">
      <w:pPr>
        <w:spacing w:line="578" w:lineRule="exact"/>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9.33</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9.33</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4F282D1B">
      <w:pPr>
        <w:numPr>
          <w:ilvl w:val="0"/>
          <w:numId w:val="3"/>
        </w:numPr>
        <w:spacing w:line="578" w:lineRule="exact"/>
        <w:ind w:firstLine="643" w:firstLine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rPr>
        <w:t>社会保障和就业（类）</w:t>
      </w:r>
    </w:p>
    <w:p w14:paraId="3C1E1117">
      <w:pPr>
        <w:spacing w:line="578" w:lineRule="exact"/>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252.79</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252.79</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72F8F2DD">
      <w:pPr>
        <w:numPr>
          <w:ilvl w:val="0"/>
          <w:numId w:val="3"/>
        </w:numPr>
        <w:spacing w:line="578" w:lineRule="exact"/>
        <w:ind w:left="0" w:leftChars="0" w:firstLine="643" w:firstLineChars="200"/>
        <w:rPr>
          <w:rFonts w:hint="eastAsia" w:ascii="仿宋_GB2312" w:hAnsi="ˎ̥" w:eastAsia="仿宋_GB2312"/>
          <w:b/>
          <w:bCs/>
          <w:color w:val="auto"/>
          <w:sz w:val="32"/>
          <w:szCs w:val="32"/>
          <w:highlight w:val="none"/>
        </w:rPr>
      </w:pPr>
      <w:r>
        <w:rPr>
          <w:rFonts w:hint="eastAsia" w:ascii="仿宋_GB2312" w:hAnsi="ˎ̥" w:eastAsia="仿宋_GB2312"/>
          <w:b/>
          <w:bCs/>
          <w:color w:val="auto"/>
          <w:sz w:val="32"/>
          <w:szCs w:val="32"/>
          <w:highlight w:val="none"/>
        </w:rPr>
        <w:t>住房保障（类）</w:t>
      </w:r>
    </w:p>
    <w:p w14:paraId="5104A3D7">
      <w:pPr>
        <w:spacing w:line="578" w:lineRule="exact"/>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103.37</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103.37</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263C668F">
      <w:pPr>
        <w:widowControl w:val="0"/>
        <w:numPr>
          <w:ilvl w:val="0"/>
          <w:numId w:val="3"/>
        </w:numPr>
        <w:spacing w:line="578" w:lineRule="exact"/>
        <w:ind w:left="0" w:leftChars="0" w:firstLine="643" w:firstLineChars="200"/>
        <w:jc w:val="both"/>
        <w:rPr>
          <w:rFonts w:hint="eastAsia" w:ascii="仿宋_GB2312" w:hAnsi="ˎ̥" w:eastAsia="仿宋_GB2312"/>
          <w:b/>
          <w:color w:val="auto"/>
          <w:sz w:val="32"/>
          <w:szCs w:val="32"/>
          <w:highlight w:val="none"/>
        </w:rPr>
      </w:pPr>
      <w:r>
        <w:rPr>
          <w:rFonts w:hint="eastAsia" w:ascii="仿宋_GB2312" w:hAnsi="ˎ̥" w:eastAsia="仿宋_GB2312"/>
          <w:b/>
          <w:bCs/>
          <w:color w:val="auto"/>
          <w:sz w:val="32"/>
          <w:szCs w:val="32"/>
          <w:highlight w:val="none"/>
          <w:lang w:eastAsia="zh-CN"/>
        </w:rPr>
        <w:t>文化旅游体育与传媒</w:t>
      </w:r>
      <w:r>
        <w:rPr>
          <w:rFonts w:hint="eastAsia" w:ascii="仿宋_GB2312" w:hAnsi="ˎ̥" w:eastAsia="仿宋_GB2312"/>
          <w:b/>
          <w:color w:val="auto"/>
          <w:sz w:val="32"/>
          <w:szCs w:val="32"/>
          <w:highlight w:val="none"/>
        </w:rPr>
        <w:t>（类）</w:t>
      </w:r>
    </w:p>
    <w:p w14:paraId="44034881">
      <w:pPr>
        <w:spacing w:line="578" w:lineRule="exact"/>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5893.26</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4891.87</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83</w:t>
      </w:r>
      <w:r>
        <w:rPr>
          <w:rFonts w:hint="eastAsia" w:ascii="仿宋_GB2312" w:hAnsi="ˎ̥" w:eastAsia="仿宋_GB2312"/>
          <w:color w:val="auto"/>
          <w:sz w:val="32"/>
          <w:szCs w:val="32"/>
          <w:highlight w:val="none"/>
        </w:rPr>
        <w:t>%。</w:t>
      </w:r>
    </w:p>
    <w:p w14:paraId="4B7BCC70">
      <w:pPr>
        <w:widowControl w:val="0"/>
        <w:numPr>
          <w:ilvl w:val="0"/>
          <w:numId w:val="3"/>
        </w:numPr>
        <w:spacing w:line="578" w:lineRule="exact"/>
        <w:ind w:left="0" w:leftChars="0" w:firstLine="643" w:firstLineChars="200"/>
        <w:jc w:val="both"/>
        <w:rPr>
          <w:rFonts w:hint="eastAsia" w:ascii="仿宋_GB2312" w:hAnsi="ˎ̥" w:eastAsia="仿宋_GB2312"/>
          <w:b/>
          <w:color w:val="auto"/>
          <w:sz w:val="32"/>
          <w:szCs w:val="32"/>
          <w:highlight w:val="none"/>
        </w:rPr>
      </w:pPr>
      <w:r>
        <w:rPr>
          <w:rFonts w:hint="eastAsia" w:ascii="仿宋_GB2312" w:hAnsi="ˎ̥" w:eastAsia="仿宋_GB2312"/>
          <w:b/>
          <w:bCs/>
          <w:color w:val="auto"/>
          <w:sz w:val="32"/>
          <w:szCs w:val="32"/>
          <w:highlight w:val="none"/>
          <w:lang w:eastAsia="zh-CN"/>
        </w:rPr>
        <w:t>卫生与健康</w:t>
      </w:r>
      <w:r>
        <w:rPr>
          <w:rFonts w:hint="eastAsia" w:ascii="仿宋_GB2312" w:hAnsi="ˎ̥" w:eastAsia="仿宋_GB2312"/>
          <w:b/>
          <w:color w:val="auto"/>
          <w:sz w:val="32"/>
          <w:szCs w:val="32"/>
          <w:highlight w:val="none"/>
        </w:rPr>
        <w:t>（类）</w:t>
      </w:r>
    </w:p>
    <w:p w14:paraId="6DE93682">
      <w:pPr>
        <w:spacing w:line="578" w:lineRule="exact"/>
        <w:ind w:firstLine="643" w:firstLineChars="200"/>
        <w:rPr>
          <w:rFonts w:hint="eastAsia" w:ascii="仿宋_GB2312" w:hAnsi="ˎ̥" w:eastAsia="仿宋_GB2312"/>
          <w:color w:val="auto"/>
          <w:sz w:val="32"/>
          <w:szCs w:val="32"/>
          <w:highlight w:val="none"/>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75.17</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75.17</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436C78CE">
      <w:pPr>
        <w:spacing w:line="578" w:lineRule="exact"/>
        <w:ind w:firstLine="640" w:firstLineChars="200"/>
        <w:rPr>
          <w:rFonts w:hint="default" w:ascii="仿宋_GB2312" w:hAnsi="ˎ̥" w:eastAsia="仿宋_GB2312"/>
          <w:color w:val="auto"/>
          <w:sz w:val="32"/>
          <w:szCs w:val="32"/>
          <w:highlight w:val="none"/>
          <w:lang w:val="en-US" w:eastAsia="zh-CN"/>
        </w:rPr>
      </w:pPr>
      <w:r>
        <w:rPr>
          <w:rFonts w:hint="eastAsia" w:ascii="仿宋_GB2312" w:hAnsi="ˎ̥" w:eastAsia="仿宋_GB2312"/>
          <w:color w:val="auto"/>
          <w:sz w:val="32"/>
          <w:szCs w:val="32"/>
          <w:highlight w:val="none"/>
          <w:lang w:val="en-US" w:eastAsia="zh-CN"/>
        </w:rPr>
        <w:t>6.</w:t>
      </w:r>
      <w:r>
        <w:rPr>
          <w:rFonts w:hint="eastAsia" w:ascii="仿宋_GB2312" w:hAnsi="ˎ̥" w:eastAsia="仿宋_GB2312"/>
          <w:b/>
          <w:bCs/>
          <w:color w:val="auto"/>
          <w:sz w:val="32"/>
          <w:szCs w:val="32"/>
          <w:highlight w:val="none"/>
          <w:lang w:eastAsia="zh-CN"/>
        </w:rPr>
        <w:t>农林水支出</w:t>
      </w:r>
      <w:r>
        <w:rPr>
          <w:rFonts w:hint="eastAsia" w:ascii="仿宋_GB2312" w:hAnsi="ˎ̥" w:eastAsia="仿宋_GB2312"/>
          <w:b/>
          <w:color w:val="auto"/>
          <w:sz w:val="32"/>
          <w:szCs w:val="32"/>
          <w:highlight w:val="none"/>
        </w:rPr>
        <w:t>（类）</w:t>
      </w:r>
    </w:p>
    <w:p w14:paraId="1282F3DE">
      <w:pPr>
        <w:widowControl w:val="0"/>
        <w:numPr>
          <w:ilvl w:val="0"/>
          <w:numId w:val="0"/>
        </w:numPr>
        <w:spacing w:line="578" w:lineRule="exact"/>
        <w:ind w:leftChars="200"/>
        <w:jc w:val="both"/>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15.43</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15.43</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043A745D">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本部分支出决算数可取自财决公开05表，年初预算数可取自各预算部门、单位年初预算大本，根据实际支出涉及的支出功能分类项级科目填列。）</w:t>
      </w:r>
    </w:p>
    <w:p w14:paraId="094F1938">
      <w:pPr>
        <w:spacing w:line="578" w:lineRule="exact"/>
        <w:ind w:firstLine="627" w:firstLineChars="196"/>
        <w:rPr>
          <w:rFonts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221195C4">
      <w:pPr>
        <w:tabs>
          <w:tab w:val="center" w:pos="4473"/>
        </w:tabs>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eastAsia="zh-CN"/>
        </w:rPr>
        <w:t>5347.97</w:t>
      </w:r>
      <w:r>
        <w:rPr>
          <w:rFonts w:hint="eastAsia" w:ascii="仿宋_GB2312" w:hAnsi="ˎ̥" w:eastAsia="仿宋_GB2312"/>
          <w:color w:val="auto"/>
          <w:sz w:val="32"/>
          <w:szCs w:val="32"/>
        </w:rPr>
        <w:t>万元，其中：人员经费</w:t>
      </w:r>
      <w:r>
        <w:rPr>
          <w:rFonts w:ascii="仿宋_GB2312" w:hAnsi="ˎ̥" w:eastAsia="仿宋_GB2312"/>
          <w:color w:val="auto"/>
          <w:sz w:val="32"/>
          <w:szCs w:val="32"/>
        </w:rPr>
        <w:t>1,485.76</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抚恤金、生活补助、救济费、医疗费补助、代缴社会保险费、其他对个人和家庭的补助。公用经费</w:t>
      </w:r>
      <w:r>
        <w:rPr>
          <w:rFonts w:ascii="仿宋_GB2312" w:hAnsi="ˎ̥" w:eastAsia="仿宋_GB2312"/>
          <w:color w:val="auto"/>
          <w:sz w:val="32"/>
          <w:szCs w:val="32"/>
        </w:rPr>
        <w:t>65.16</w:t>
      </w:r>
      <w:r>
        <w:rPr>
          <w:rFonts w:hint="eastAsia" w:ascii="仿宋_GB2312" w:hAnsi="ˎ̥" w:eastAsia="仿宋_GB2312"/>
          <w:color w:val="auto"/>
          <w:sz w:val="32"/>
          <w:szCs w:val="32"/>
        </w:rPr>
        <w:t>万元，主要包括：商品和服务支出中的办公费、印刷费、咨询费、手续费、水费、差旅费、维修（护）费、培训费、公务接待费、被装购置费、专用燃料费、劳务费、工会经费、福利费、公务用车运行维护费、其他交通费用、税金及附加费用、其他商品和服务支出；办公设备购置、专用设备购置、基础设施建设、</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3797.05</w:t>
      </w:r>
      <w:r>
        <w:rPr>
          <w:rFonts w:hint="eastAsia" w:ascii="仿宋_GB2312" w:hAnsi="ˎ̥" w:eastAsia="仿宋_GB2312"/>
          <w:color w:val="auto"/>
          <w:sz w:val="32"/>
          <w:szCs w:val="32"/>
        </w:rPr>
        <w:t>大型修缮、</w:t>
      </w:r>
      <w:r>
        <w:rPr>
          <w:rFonts w:hint="eastAsia" w:ascii="仿宋_GB2312" w:hAnsi="ˎ̥" w:eastAsia="仿宋_GB2312"/>
          <w:color w:val="auto"/>
          <w:sz w:val="32"/>
          <w:szCs w:val="32"/>
          <w:lang w:eastAsia="zh-CN"/>
        </w:rPr>
        <w:t>乡镇驿站项目建设</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购买设备</w:t>
      </w:r>
      <w:r>
        <w:rPr>
          <w:rFonts w:hint="eastAsia" w:ascii="仿宋_GB2312" w:hAnsi="ˎ̥" w:eastAsia="仿宋_GB2312"/>
          <w:color w:val="auto"/>
          <w:sz w:val="32"/>
          <w:szCs w:val="32"/>
        </w:rPr>
        <w:t>、土地补偿</w:t>
      </w:r>
      <w:r>
        <w:rPr>
          <w:rFonts w:hint="eastAsia" w:ascii="仿宋_GB2312" w:hAnsi="ˎ̥" w:eastAsia="仿宋_GB2312"/>
          <w:color w:val="auto"/>
          <w:sz w:val="32"/>
          <w:szCs w:val="32"/>
          <w:lang w:eastAsia="zh-CN"/>
        </w:rPr>
        <w:t>等。</w:t>
      </w: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上述数据可取自财决公开06表，各预算部门、单位根据实际支出情况，选列相应支出经济分类。）</w:t>
      </w:r>
    </w:p>
    <w:p w14:paraId="6D0F012A">
      <w:pPr>
        <w:tabs>
          <w:tab w:val="center" w:pos="4473"/>
        </w:tabs>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2BD82422">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14:paraId="2F89AD79">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年度政府性基金预算财政拨款支出</w:t>
      </w:r>
      <w:r>
        <w:rPr>
          <w:rFonts w:ascii="仿宋_GB2312" w:hAnsi="ˎ̥" w:eastAsia="仿宋_GB2312"/>
          <w:color w:val="auto"/>
          <w:sz w:val="32"/>
          <w:szCs w:val="32"/>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ascii="仿宋_GB2312" w:hAnsi="ˎ̥" w:eastAsia="仿宋_GB2312"/>
          <w:color w:val="auto"/>
          <w:sz w:val="32"/>
          <w:szCs w:val="32"/>
        </w:rPr>
        <w:t>2023</w:t>
      </w:r>
      <w:r>
        <w:rPr>
          <w:rFonts w:hint="eastAsia" w:ascii="仿宋_GB2312" w:hAnsi="ˎ̥" w:eastAsia="仿宋_GB2312"/>
          <w:color w:val="auto"/>
          <w:sz w:val="32"/>
          <w:szCs w:val="32"/>
        </w:rPr>
        <w:t>年度相比，政府性基金预算财政拨款支出增加（减少）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2023年和2024年本单位政府性基金预算财政拨款支出都为0.00万元，无涉及该笔资金</w:t>
      </w:r>
      <w:r>
        <w:rPr>
          <w:rFonts w:hint="eastAsia" w:ascii="仿宋_GB2312" w:hAnsi="ˎ̥" w:eastAsia="仿宋_GB2312"/>
          <w:color w:val="auto"/>
          <w:sz w:val="32"/>
          <w:szCs w:val="32"/>
        </w:rPr>
        <w:t>。</w:t>
      </w:r>
    </w:p>
    <w:p w14:paraId="4F7F4AC7">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4A14D749">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年度政府性基金预算财政拨款支出</w:t>
      </w:r>
      <w:r>
        <w:rPr>
          <w:rFonts w:ascii="仿宋_GB2312" w:hAnsi="ˎ̥" w:eastAsia="仿宋_GB2312"/>
          <w:color w:val="auto"/>
          <w:sz w:val="32"/>
          <w:szCs w:val="32"/>
        </w:rPr>
        <w:t>0.00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2023年和2024年本单位政府性基金预算财政拨款支出都为0.00万元，无涉及该笔资金</w:t>
      </w:r>
      <w:r>
        <w:rPr>
          <w:rFonts w:hint="eastAsia" w:ascii="仿宋_GB2312" w:hAnsi="ˎ̥" w:eastAsia="仿宋_GB2312"/>
          <w:color w:val="auto"/>
          <w:sz w:val="32"/>
          <w:szCs w:val="32"/>
        </w:rPr>
        <w:t>。</w:t>
      </w:r>
    </w:p>
    <w:p w14:paraId="043BC54B">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根据各预算部门、单位实际支出涉及的支出功能分类类级科目填列。）</w:t>
      </w:r>
    </w:p>
    <w:p w14:paraId="2D0047BA">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6BEE3A32">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ascii="仿宋_GB2312" w:hAnsi="ˎ̥" w:eastAsia="仿宋_GB2312"/>
          <w:color w:val="auto"/>
          <w:sz w:val="32"/>
          <w:szCs w:val="32"/>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2023年和2024年本单位政府性基金预算财政拨款支出都为0.00万元，无涉及该笔资金</w:t>
      </w:r>
      <w:r>
        <w:rPr>
          <w:rFonts w:hint="eastAsia" w:ascii="仿宋_GB2312" w:hAnsi="ˎ̥" w:eastAsia="仿宋_GB2312"/>
          <w:color w:val="auto"/>
          <w:sz w:val="32"/>
          <w:szCs w:val="32"/>
        </w:rPr>
        <w:t>。</w:t>
      </w:r>
    </w:p>
    <w:p w14:paraId="5184F49F">
      <w:pPr>
        <w:tabs>
          <w:tab w:val="center" w:pos="4473"/>
        </w:tabs>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根据各预算部门、单位实际支出涉及的支出功能分类项级科目填列，本部分</w:t>
      </w:r>
      <w:r>
        <w:rPr>
          <w:rFonts w:ascii="仿宋_GB2312" w:hAnsi="ˎ̥" w:eastAsia="仿宋_GB2312"/>
          <w:color w:val="auto"/>
          <w:sz w:val="32"/>
          <w:szCs w:val="32"/>
        </w:rPr>
        <w:t>2024</w:t>
      </w:r>
      <w:r>
        <w:rPr>
          <w:rFonts w:hint="eastAsia" w:ascii="仿宋_GB2312" w:hAnsi="ˎ̥" w:eastAsia="仿宋_GB2312"/>
          <w:color w:val="auto"/>
          <w:sz w:val="32"/>
          <w:szCs w:val="32"/>
        </w:rPr>
        <w:t>年度决算相关数据取自财决公开07表；</w:t>
      </w:r>
      <w:r>
        <w:rPr>
          <w:rFonts w:ascii="仿宋_GB2312" w:hAnsi="ˎ̥" w:eastAsia="仿宋_GB2312"/>
          <w:color w:val="auto"/>
          <w:sz w:val="32"/>
          <w:szCs w:val="32"/>
        </w:rPr>
        <w:t>2023</w:t>
      </w:r>
      <w:r>
        <w:rPr>
          <w:rFonts w:hint="eastAsia" w:ascii="仿宋_GB2312" w:hAnsi="ˎ̥" w:eastAsia="仿宋_GB2312"/>
          <w:color w:val="auto"/>
          <w:sz w:val="32"/>
          <w:szCs w:val="32"/>
        </w:rPr>
        <w:t>年度决算相关数据取自</w:t>
      </w:r>
      <w:r>
        <w:rPr>
          <w:rFonts w:ascii="仿宋_GB2312" w:hAnsi="ˎ̥" w:eastAsia="仿宋_GB2312"/>
          <w:color w:val="auto"/>
          <w:sz w:val="32"/>
          <w:szCs w:val="32"/>
        </w:rPr>
        <w:t>2023</w:t>
      </w:r>
      <w:r>
        <w:rPr>
          <w:rFonts w:hint="eastAsia" w:ascii="仿宋_GB2312" w:hAnsi="ˎ̥" w:eastAsia="仿宋_GB2312"/>
          <w:color w:val="auto"/>
          <w:sz w:val="32"/>
          <w:szCs w:val="32"/>
        </w:rPr>
        <w:t>年度部门决算报表财决09表《政府性基金预算财政拨款收入支出决算表》。）</w:t>
      </w:r>
    </w:p>
    <w:p w14:paraId="2E4D505B">
      <w:pPr>
        <w:tabs>
          <w:tab w:val="center" w:pos="4473"/>
        </w:tabs>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37E4FC7F">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14:paraId="76C6F261">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年度国有资本经营预算财政拨款支出</w:t>
      </w:r>
      <w:r>
        <w:rPr>
          <w:rFonts w:ascii="仿宋_GB2312" w:hAnsi="ˎ̥" w:eastAsia="仿宋_GB2312"/>
          <w:color w:val="auto"/>
          <w:sz w:val="32"/>
          <w:szCs w:val="32"/>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ascii="仿宋_GB2312" w:hAnsi="ˎ̥" w:eastAsia="仿宋_GB2312"/>
          <w:color w:val="auto"/>
          <w:sz w:val="32"/>
          <w:szCs w:val="32"/>
        </w:rPr>
        <w:t>2023</w:t>
      </w:r>
      <w:r>
        <w:rPr>
          <w:rFonts w:hint="eastAsia" w:ascii="仿宋_GB2312" w:hAnsi="ˎ̥" w:eastAsia="仿宋_GB2312"/>
          <w:color w:val="auto"/>
          <w:sz w:val="32"/>
          <w:szCs w:val="32"/>
        </w:rPr>
        <w:t>年度相比，国有资本经营预算财政拨款支出增加（减少）</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2023年和2024年本单位国有资本经营预算财政拨款支出决算都为0.00万元，无涉及该笔资金</w:t>
      </w:r>
      <w:r>
        <w:rPr>
          <w:rFonts w:hint="eastAsia" w:ascii="仿宋_GB2312" w:hAnsi="ˎ̥" w:eastAsia="仿宋_GB2312"/>
          <w:color w:val="auto"/>
          <w:sz w:val="32"/>
          <w:szCs w:val="32"/>
        </w:rPr>
        <w:t>。</w:t>
      </w:r>
    </w:p>
    <w:p w14:paraId="3F7F3FFE">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17064772">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年度国有资本经营预算财政拨款支出</w:t>
      </w:r>
      <w:r>
        <w:rPr>
          <w:rFonts w:ascii="仿宋_GB2312" w:hAnsi="ˎ̥" w:eastAsia="仿宋_GB2312"/>
          <w:color w:val="auto"/>
          <w:sz w:val="32"/>
          <w:szCs w:val="32"/>
        </w:rPr>
        <w:t>0.00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2023年和2024年本单位国有资本经营预算财政拨款支出决算都为0.00万元，无涉及该笔资金</w:t>
      </w:r>
      <w:r>
        <w:rPr>
          <w:rFonts w:hint="eastAsia" w:ascii="仿宋_GB2312" w:hAnsi="ˎ̥" w:eastAsia="仿宋_GB2312"/>
          <w:color w:val="auto"/>
          <w:sz w:val="32"/>
          <w:szCs w:val="32"/>
        </w:rPr>
        <w:t>。</w:t>
      </w:r>
    </w:p>
    <w:p w14:paraId="54AE32BB">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根据各预算部门、单位实际支出涉及的支出功能分类类级科目填列。）</w:t>
      </w:r>
    </w:p>
    <w:p w14:paraId="3EA3932B">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476318FD">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ascii="仿宋_GB2312" w:hAnsi="ˎ̥" w:eastAsia="仿宋_GB2312"/>
          <w:color w:val="auto"/>
          <w:sz w:val="32"/>
          <w:szCs w:val="32"/>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2023年和2024年本单位国有资本经营预算财政拨款支出决算都为0.00万元，无涉及该笔资金</w:t>
      </w:r>
      <w:r>
        <w:rPr>
          <w:rFonts w:hint="eastAsia" w:ascii="仿宋_GB2312" w:hAnsi="ˎ̥" w:eastAsia="仿宋_GB2312"/>
          <w:color w:val="auto"/>
          <w:sz w:val="32"/>
          <w:szCs w:val="32"/>
        </w:rPr>
        <w:t>。</w:t>
      </w:r>
    </w:p>
    <w:p w14:paraId="4B5420C3">
      <w:pPr>
        <w:tabs>
          <w:tab w:val="center" w:pos="4473"/>
        </w:tabs>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根据各预算部门、单位实际支出涉及的支出功能分类项级科目填列，本部分</w:t>
      </w:r>
      <w:r>
        <w:rPr>
          <w:rFonts w:ascii="仿宋_GB2312" w:hAnsi="ˎ̥" w:eastAsia="仿宋_GB2312"/>
          <w:color w:val="auto"/>
          <w:sz w:val="32"/>
          <w:szCs w:val="32"/>
        </w:rPr>
        <w:t>2024</w:t>
      </w:r>
      <w:r>
        <w:rPr>
          <w:rFonts w:hint="eastAsia" w:ascii="仿宋_GB2312" w:hAnsi="ˎ̥" w:eastAsia="仿宋_GB2312"/>
          <w:color w:val="auto"/>
          <w:sz w:val="32"/>
          <w:szCs w:val="32"/>
        </w:rPr>
        <w:t>年度决算相关数据取自财决公开08表。）</w:t>
      </w:r>
    </w:p>
    <w:p w14:paraId="386FF8A7">
      <w:pPr>
        <w:spacing w:line="578" w:lineRule="exact"/>
        <w:ind w:firstLine="627" w:firstLineChars="196"/>
        <w:rPr>
          <w:rFonts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3421026F">
      <w:pPr>
        <w:spacing w:line="578"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1F005593">
      <w:pPr>
        <w:snapToGrid w:val="0"/>
        <w:spacing w:line="520" w:lineRule="exact"/>
        <w:jc w:val="left"/>
        <w:rPr>
          <w:rFonts w:ascii="仿宋_GB2312" w:hAnsi="ˎ̥" w:eastAsia="仿宋_GB2312"/>
          <w:color w:val="auto"/>
          <w:sz w:val="32"/>
          <w:szCs w:val="32"/>
        </w:rPr>
      </w:pPr>
      <w:r>
        <w:rPr>
          <w:rFonts w:hint="eastAsia" w:ascii="仿宋_GB2312" w:hAnsi="ˎ̥" w:eastAsia="仿宋_GB2312"/>
          <w:color w:val="auto"/>
          <w:sz w:val="32"/>
          <w:szCs w:val="32"/>
        </w:rPr>
        <w:t xml:space="preserve">    </w:t>
      </w:r>
      <w:r>
        <w:rPr>
          <w:rFonts w:ascii="仿宋_GB2312" w:hAnsi="ˎ̥" w:eastAsia="仿宋_GB2312"/>
          <w:color w:val="auto"/>
          <w:sz w:val="32"/>
          <w:szCs w:val="32"/>
        </w:rPr>
        <w:t>2024</w:t>
      </w:r>
      <w:r>
        <w:rPr>
          <w:rFonts w:hint="eastAsia" w:ascii="仿宋_GB2312" w:hAnsi="ˎ̥" w:eastAsia="仿宋_GB2312"/>
          <w:color w:val="auto"/>
          <w:sz w:val="32"/>
          <w:szCs w:val="32"/>
        </w:rPr>
        <w:t>年度财政拨款“三公”经费支出预算为</w:t>
      </w:r>
      <w:r>
        <w:rPr>
          <w:rFonts w:hint="eastAsia" w:ascii="仿宋_GB2312" w:hAnsi="ˎ̥" w:eastAsia="仿宋_GB2312"/>
          <w:color w:val="auto"/>
          <w:sz w:val="32"/>
          <w:szCs w:val="32"/>
          <w:lang w:val="en-US" w:eastAsia="zh-CN"/>
        </w:rPr>
        <w:t>62.30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65.16</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104.59</w:t>
      </w:r>
      <w:r>
        <w:rPr>
          <w:rFonts w:hint="eastAsia" w:ascii="仿宋_GB2312" w:hAnsi="ˎ̥" w:eastAsia="仿宋_GB2312"/>
          <w:color w:val="auto"/>
          <w:sz w:val="32"/>
          <w:szCs w:val="32"/>
        </w:rPr>
        <w:t>%，</w:t>
      </w:r>
      <w:r>
        <w:rPr>
          <w:rFonts w:ascii="仿宋_GB2312" w:hAnsi="ˎ̥" w:eastAsia="仿宋_GB2312"/>
          <w:color w:val="auto"/>
          <w:sz w:val="32"/>
          <w:szCs w:val="32"/>
        </w:rPr>
        <w:t>与2023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14.15</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27.74</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 w:hAnsi="仿宋" w:eastAsia="仿宋"/>
          <w:color w:val="auto"/>
          <w:sz w:val="32"/>
          <w:szCs w:val="32"/>
        </w:rPr>
        <w:t>主要原因由于我局2辆车辆需要年检时不维修维护就没法进行年检</w:t>
      </w:r>
      <w:r>
        <w:rPr>
          <w:rFonts w:hint="eastAsia" w:ascii="仿宋" w:hAnsi="仿宋" w:eastAsia="仿宋"/>
          <w:color w:val="auto"/>
          <w:sz w:val="32"/>
          <w:szCs w:val="32"/>
          <w:lang w:eastAsia="zh-CN"/>
        </w:rPr>
        <w:t>及人员增加导致公用经费增加</w:t>
      </w:r>
      <w:r>
        <w:rPr>
          <w:rFonts w:hint="eastAsia" w:ascii="仿宋" w:hAnsi="仿宋" w:eastAsia="仿宋"/>
          <w:color w:val="auto"/>
          <w:sz w:val="32"/>
          <w:szCs w:val="32"/>
        </w:rPr>
        <w:t>。</w:t>
      </w:r>
    </w:p>
    <w:p w14:paraId="289CE6B5">
      <w:pPr>
        <w:spacing w:line="578" w:lineRule="exact"/>
        <w:rPr>
          <w:rFonts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7B016E2D">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年度财政拨款“三公”经费支出决算中，因公出国（境）费支出决算</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eastAsia" w:ascii="仿宋_GB2312" w:hAnsi="仿宋" w:eastAsia="仿宋_GB2312"/>
          <w:color w:val="auto"/>
          <w:sz w:val="32"/>
          <w:szCs w:val="32"/>
        </w:rPr>
        <w:t>0.9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1.38</w:t>
      </w:r>
      <w:r>
        <w:rPr>
          <w:rFonts w:hint="eastAsia" w:ascii="仿宋_GB2312" w:hAnsi="ˎ̥" w:eastAsia="仿宋_GB2312"/>
          <w:color w:val="auto"/>
          <w:sz w:val="32"/>
          <w:szCs w:val="32"/>
        </w:rPr>
        <w:t>%；公务接待费支出决算</w:t>
      </w:r>
      <w:r>
        <w:rPr>
          <w:rFonts w:ascii="仿宋_GB2312" w:hAnsi="ˎ̥" w:eastAsia="仿宋_GB2312"/>
          <w:color w:val="auto"/>
          <w:sz w:val="32"/>
          <w:szCs w:val="32"/>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14:paraId="13FE02F5">
      <w:pPr>
        <w:spacing w:line="578" w:lineRule="exact"/>
        <w:ind w:firstLine="643" w:firstLineChars="200"/>
        <w:rPr>
          <w:rFonts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ascii="仿宋_GB2312" w:hAnsi="ˎ̥" w:eastAsia="仿宋_GB2312"/>
          <w:color w:val="auto"/>
          <w:sz w:val="32"/>
          <w:szCs w:val="32"/>
        </w:rPr>
        <w:t>0.00</w:t>
      </w:r>
      <w:r>
        <w:rPr>
          <w:rFonts w:hint="eastAsia" w:ascii="仿宋_GB2312" w:hAnsi="ˎ̥" w:eastAsia="仿宋_GB2312"/>
          <w:color w:val="auto"/>
          <w:sz w:val="32"/>
          <w:szCs w:val="32"/>
        </w:rPr>
        <w:t>万元。</w:t>
      </w:r>
    </w:p>
    <w:p w14:paraId="3E27DC06">
      <w:pPr>
        <w:spacing w:line="578" w:lineRule="exact"/>
        <w:rPr>
          <w:rFonts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Cs/>
          <w:color w:val="auto"/>
          <w:sz w:val="32"/>
          <w:szCs w:val="32"/>
        </w:rPr>
        <w:t>支出</w:t>
      </w:r>
      <w:r>
        <w:rPr>
          <w:rFonts w:hint="eastAsia" w:ascii="仿宋_GB2312" w:hAnsi="ˎ̥" w:eastAsia="仿宋_GB2312"/>
          <w:color w:val="auto"/>
          <w:sz w:val="32"/>
          <w:szCs w:val="32"/>
          <w:lang w:val="en-US" w:eastAsia="zh-CN"/>
        </w:rPr>
        <w:t>0.9</w:t>
      </w:r>
      <w:r>
        <w:rPr>
          <w:rFonts w:hint="eastAsia" w:ascii="仿宋_GB2312" w:hAnsi="ˎ̥" w:eastAsia="仿宋_GB2312"/>
          <w:color w:val="auto"/>
          <w:sz w:val="32"/>
          <w:szCs w:val="32"/>
        </w:rPr>
        <w:t>万元。其中：</w:t>
      </w:r>
    </w:p>
    <w:p w14:paraId="561C14A2">
      <w:pPr>
        <w:spacing w:line="578" w:lineRule="exact"/>
        <w:ind w:firstLine="643" w:firstLineChars="200"/>
        <w:rPr>
          <w:rFonts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0.9</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图书流动</w:t>
      </w:r>
      <w:r>
        <w:rPr>
          <w:rFonts w:hint="eastAsia" w:ascii="仿宋" w:hAnsi="仿宋" w:eastAsia="仿宋"/>
          <w:color w:val="auto"/>
          <w:sz w:val="32"/>
          <w:szCs w:val="32"/>
        </w:rPr>
        <w:t>2辆车辆需要年检时</w:t>
      </w:r>
      <w:r>
        <w:rPr>
          <w:rFonts w:hint="eastAsia" w:ascii="仿宋" w:hAnsi="仿宋" w:eastAsia="仿宋"/>
          <w:color w:val="auto"/>
          <w:sz w:val="32"/>
          <w:szCs w:val="32"/>
          <w:lang w:eastAsia="zh-CN"/>
        </w:rPr>
        <w:t>进行</w:t>
      </w:r>
      <w:r>
        <w:rPr>
          <w:rFonts w:hint="eastAsia" w:ascii="仿宋" w:hAnsi="仿宋" w:eastAsia="仿宋"/>
          <w:color w:val="auto"/>
          <w:sz w:val="32"/>
          <w:szCs w:val="32"/>
        </w:rPr>
        <w:t>维修维护</w:t>
      </w:r>
      <w:r>
        <w:rPr>
          <w:rFonts w:hint="eastAsia" w:ascii="仿宋_GB2312" w:hAnsi="ˎ̥" w:eastAsia="仿宋_GB2312"/>
          <w:color w:val="auto"/>
          <w:sz w:val="32"/>
          <w:szCs w:val="32"/>
        </w:rPr>
        <w:t>。</w:t>
      </w:r>
    </w:p>
    <w:p w14:paraId="5C69CEC5">
      <w:pPr>
        <w:spacing w:line="578" w:lineRule="exact"/>
        <w:ind w:firstLine="640" w:firstLineChars="200"/>
        <w:rPr>
          <w:rFonts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0.9</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1.38</w:t>
      </w:r>
      <w:r>
        <w:rPr>
          <w:rFonts w:hint="eastAsia" w:ascii="仿宋_GB2312" w:hAnsi="ˎ̥" w:eastAsia="仿宋_GB2312"/>
          <w:color w:val="auto"/>
          <w:sz w:val="32"/>
          <w:szCs w:val="32"/>
        </w:rPr>
        <w:t>%。与</w:t>
      </w:r>
      <w:r>
        <w:rPr>
          <w:rFonts w:ascii="仿宋_GB2312" w:hAnsi="ˎ̥" w:eastAsia="仿宋_GB2312"/>
          <w:color w:val="auto"/>
          <w:sz w:val="32"/>
          <w:szCs w:val="32"/>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1.22</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57.54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2023年维修后2024年2辆车比2023年用的次数减少</w:t>
      </w:r>
      <w:r>
        <w:rPr>
          <w:rFonts w:hint="eastAsia" w:ascii="仿宋_GB2312" w:hAnsi="ˎ̥" w:eastAsia="仿宋_GB2312"/>
          <w:color w:val="auto"/>
          <w:sz w:val="32"/>
          <w:szCs w:val="32"/>
        </w:rPr>
        <w:t>。</w:t>
      </w:r>
    </w:p>
    <w:p w14:paraId="2F7EA9CD">
      <w:pPr>
        <w:spacing w:line="578" w:lineRule="exact"/>
        <w:rPr>
          <w:rFonts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Cs/>
          <w:color w:val="auto"/>
          <w:sz w:val="32"/>
          <w:szCs w:val="32"/>
        </w:rPr>
        <w:t>支出</w:t>
      </w:r>
      <w:r>
        <w:rPr>
          <w:rFonts w:ascii="仿宋_GB2312" w:hAnsi="ˎ̥" w:eastAsia="仿宋_GB2312"/>
          <w:color w:val="auto"/>
          <w:sz w:val="32"/>
          <w:szCs w:val="32"/>
        </w:rPr>
        <w:t>0.00</w:t>
      </w:r>
      <w:r>
        <w:rPr>
          <w:rFonts w:hint="eastAsia" w:ascii="仿宋_GB2312" w:hAnsi="ˎ̥" w:eastAsia="仿宋_GB2312"/>
          <w:color w:val="auto"/>
          <w:sz w:val="32"/>
          <w:szCs w:val="32"/>
        </w:rPr>
        <w:t>万元，其中：</w:t>
      </w:r>
    </w:p>
    <w:p w14:paraId="7DE43CCB">
      <w:pPr>
        <w:spacing w:line="578" w:lineRule="exact"/>
        <w:ind w:firstLine="643" w:firstLineChars="200"/>
        <w:rPr>
          <w:rFonts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w:t>
      </w:r>
      <w:r>
        <w:rPr>
          <w:rFonts w:hint="eastAsia" w:ascii="仿宋_GB2312" w:hAnsi="ˎ̥" w:eastAsia="仿宋_GB2312"/>
          <w:color w:val="auto"/>
          <w:sz w:val="32"/>
          <w:szCs w:val="32"/>
          <w:lang w:eastAsia="zh-CN"/>
        </w:rPr>
        <w:t>原因本单位接待都是政府统一接待的，本单位没有国内接待费</w:t>
      </w:r>
      <w:r>
        <w:rPr>
          <w:rFonts w:hint="eastAsia" w:ascii="仿宋_GB2312" w:hAnsi="ˎ̥" w:eastAsia="仿宋_GB2312"/>
          <w:color w:val="auto"/>
          <w:sz w:val="32"/>
          <w:szCs w:val="32"/>
        </w:rPr>
        <w:t>。</w:t>
      </w:r>
    </w:p>
    <w:p w14:paraId="4132EA16">
      <w:pPr>
        <w:spacing w:line="578" w:lineRule="exact"/>
        <w:ind w:firstLine="643" w:firstLineChars="200"/>
        <w:rPr>
          <w:rFonts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w:t>
      </w:r>
      <w:r>
        <w:rPr>
          <w:rFonts w:hint="eastAsia" w:ascii="仿宋_GB2312" w:hAnsi="ˎ̥" w:eastAsia="仿宋_GB2312"/>
          <w:color w:val="auto"/>
          <w:sz w:val="32"/>
          <w:szCs w:val="32"/>
          <w:lang w:eastAsia="zh-CN"/>
        </w:rPr>
        <w:t>原因本单位无国（境）外接待费</w:t>
      </w:r>
      <w:r>
        <w:rPr>
          <w:rFonts w:hint="eastAsia" w:ascii="仿宋_GB2312" w:hAnsi="ˎ̥" w:eastAsia="仿宋_GB2312"/>
          <w:color w:val="auto"/>
          <w:sz w:val="32"/>
          <w:szCs w:val="32"/>
        </w:rPr>
        <w:t>。</w:t>
      </w:r>
    </w:p>
    <w:p w14:paraId="4CDA068E">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ascii="仿宋_GB2312" w:hAnsi="ˎ̥" w:eastAsia="仿宋_GB2312"/>
          <w:color w:val="auto"/>
          <w:sz w:val="32"/>
          <w:szCs w:val="32"/>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本部门无公务接待费用</w:t>
      </w:r>
      <w:r>
        <w:rPr>
          <w:rFonts w:hint="eastAsia" w:ascii="仿宋_GB2312" w:hAnsi="ˎ̥" w:eastAsia="仿宋_GB2312"/>
          <w:color w:val="auto"/>
          <w:sz w:val="32"/>
          <w:szCs w:val="32"/>
        </w:rPr>
        <w:t>。</w:t>
      </w:r>
    </w:p>
    <w:p w14:paraId="38CCC7CD">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ascii="仿宋_GB2312" w:hAnsi="ˎ̥" w:eastAsia="仿宋_GB2312"/>
          <w:color w:val="auto"/>
          <w:sz w:val="32"/>
          <w:szCs w:val="32"/>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ascii="仿宋_GB2312" w:hAnsi="ˎ̥" w:eastAsia="仿宋_GB2312"/>
          <w:color w:val="auto"/>
          <w:sz w:val="32"/>
          <w:szCs w:val="32"/>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rPr>
        <w:t>。）</w:t>
      </w:r>
    </w:p>
    <w:p w14:paraId="3AFA59A5">
      <w:pPr>
        <w:spacing w:line="578" w:lineRule="exact"/>
        <w:ind w:firstLine="640" w:firstLineChars="200"/>
        <w:rPr>
          <w:rFonts w:ascii="黑体" w:hAnsi="黑体" w:eastAsia="黑体" w:cs="黑体"/>
          <w:bCs/>
          <w:color w:val="auto"/>
          <w:sz w:val="32"/>
          <w:szCs w:val="32"/>
          <w:highlight w:val="none"/>
        </w:rPr>
      </w:pPr>
      <w:bookmarkStart w:id="121" w:name="_GoBack"/>
      <w:r>
        <w:rPr>
          <w:rFonts w:hint="eastAsia" w:ascii="黑体" w:hAnsi="黑体" w:eastAsia="黑体" w:cs="黑体"/>
          <w:bCs/>
          <w:color w:val="auto"/>
          <w:sz w:val="32"/>
          <w:szCs w:val="32"/>
          <w:highlight w:val="none"/>
        </w:rPr>
        <w:t>十、预算绩效情况说明</w:t>
      </w:r>
    </w:p>
    <w:p w14:paraId="46511A90">
      <w:pPr>
        <w:spacing w:line="578" w:lineRule="exact"/>
        <w:ind w:firstLine="640" w:firstLineChars="20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（一）绩效管理工作开展情况</w:t>
      </w:r>
    </w:p>
    <w:p w14:paraId="05FBC422">
      <w:pPr>
        <w:spacing w:line="578"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根据财政预算绩效管理要求，可按照如下格式说明：根据预算管理要求，</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组织对</w:t>
      </w:r>
      <w:r>
        <w:rPr>
          <w:rFonts w:ascii="仿宋_GB2312" w:eastAsia="仿宋_GB2312"/>
          <w:color w:val="auto"/>
          <w:sz w:val="32"/>
          <w:szCs w:val="32"/>
          <w:highlight w:val="none"/>
        </w:rPr>
        <w:t>2024</w:t>
      </w:r>
      <w:r>
        <w:rPr>
          <w:rFonts w:hint="eastAsia" w:ascii="仿宋_GB2312" w:eastAsia="仿宋_GB2312"/>
          <w:color w:val="auto"/>
          <w:sz w:val="32"/>
          <w:szCs w:val="32"/>
          <w:highlight w:val="none"/>
        </w:rPr>
        <w:t>年度一般公共预算项目支出全面开展绩效自评</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共涉及资金</w:t>
      </w:r>
      <w:r>
        <w:rPr>
          <w:rFonts w:hint="eastAsia" w:ascii="仿宋_GB2312" w:eastAsia="仿宋_GB2312"/>
          <w:color w:val="auto"/>
          <w:sz w:val="32"/>
          <w:szCs w:val="32"/>
          <w:highlight w:val="none"/>
          <w:lang w:val="en-US" w:eastAsia="zh-CN"/>
        </w:rPr>
        <w:t>3610.31</w:t>
      </w:r>
      <w:r>
        <w:rPr>
          <w:rFonts w:hint="eastAsia" w:ascii="仿宋_GB2312" w:eastAsia="仿宋_GB2312"/>
          <w:color w:val="auto"/>
          <w:sz w:val="32"/>
          <w:szCs w:val="32"/>
          <w:highlight w:val="none"/>
        </w:rPr>
        <w:t>万元，占一般公共预算项目支出总额的</w:t>
      </w:r>
      <w:r>
        <w:rPr>
          <w:rFonts w:hint="eastAsia" w:ascii="仿宋_GB2312" w:eastAsia="仿宋_GB2312"/>
          <w:color w:val="auto"/>
          <w:sz w:val="32"/>
          <w:szCs w:val="32"/>
          <w:highlight w:val="none"/>
          <w:lang w:val="en-US" w:eastAsia="zh-CN"/>
        </w:rPr>
        <w:t>75</w:t>
      </w:r>
      <w:r>
        <w:rPr>
          <w:rFonts w:hint="eastAsia" w:ascii="仿宋_GB2312" w:eastAsia="仿宋_GB2312"/>
          <w:color w:val="auto"/>
          <w:sz w:val="32"/>
          <w:szCs w:val="32"/>
          <w:highlight w:val="none"/>
        </w:rPr>
        <w:t>%。组织对</w:t>
      </w:r>
      <w:r>
        <w:rPr>
          <w:rFonts w:ascii="仿宋_GB2312" w:eastAsia="仿宋_GB2312"/>
          <w:color w:val="auto"/>
          <w:sz w:val="32"/>
          <w:szCs w:val="32"/>
          <w:highlight w:val="none"/>
        </w:rPr>
        <w:t>2024</w:t>
      </w:r>
      <w:r>
        <w:rPr>
          <w:rFonts w:hint="eastAsia" w:ascii="仿宋_GB2312" w:eastAsia="仿宋_GB2312"/>
          <w:color w:val="auto"/>
          <w:sz w:val="32"/>
          <w:szCs w:val="32"/>
          <w:highlight w:val="none"/>
        </w:rPr>
        <w:t>年度</w:t>
      </w:r>
      <w:r>
        <w:rPr>
          <w:rFonts w:hint="eastAsia" w:ascii="仿宋_GB2312" w:eastAsia="仿宋_GB2312"/>
          <w:color w:val="auto"/>
          <w:sz w:val="32"/>
          <w:szCs w:val="32"/>
          <w:highlight w:val="none"/>
          <w:lang w:eastAsia="zh-CN"/>
        </w:rPr>
        <w:t>县</w:t>
      </w:r>
      <w:r>
        <w:rPr>
          <w:rFonts w:hint="eastAsia" w:ascii="仿宋_GB2312" w:eastAsia="仿宋_GB2312"/>
          <w:color w:val="auto"/>
          <w:sz w:val="32"/>
          <w:szCs w:val="32"/>
          <w:highlight w:val="none"/>
        </w:rPr>
        <w:t>级图书总分馆制建设试点</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、色尼区夯措、跋绒沟嘎尓德牧业基地三个AAA级旅游景区规划、创建申报采购项目</w:t>
      </w:r>
      <w:r>
        <w:rPr>
          <w:rFonts w:hint="eastAsia" w:ascii="仿宋_GB2312" w:eastAsia="仿宋_GB2312"/>
          <w:color w:val="auto"/>
          <w:sz w:val="32"/>
          <w:szCs w:val="32"/>
          <w:highlight w:val="none"/>
          <w:lang w:eastAsia="zh-CN"/>
        </w:rPr>
        <w:t>、赛马节活动项目</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个政府性基金预算项目开展绩效自评，共涉及资金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万元，占政府性基金预算项目支出总额的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%。共组织对“</w:t>
      </w:r>
      <w:r>
        <w:rPr>
          <w:rFonts w:hint="eastAsia" w:ascii="仿宋_GB2312" w:eastAsia="仿宋_GB2312"/>
          <w:color w:val="auto"/>
          <w:sz w:val="32"/>
          <w:szCs w:val="32"/>
          <w:highlight w:val="none"/>
          <w:lang w:eastAsia="zh-CN"/>
        </w:rPr>
        <w:t>县</w:t>
      </w:r>
      <w:r>
        <w:rPr>
          <w:rFonts w:hint="eastAsia" w:ascii="仿宋_GB2312" w:eastAsia="仿宋_GB2312"/>
          <w:color w:val="auto"/>
          <w:sz w:val="32"/>
          <w:szCs w:val="32"/>
          <w:highlight w:val="none"/>
        </w:rPr>
        <w:t>级图书总分馆制建设试点</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个项目开展了部门评价，涉及一般公共预算支出</w:t>
      </w:r>
      <w:r>
        <w:rPr>
          <w:rFonts w:hint="eastAsia" w:ascii="仿宋_GB2312" w:eastAsia="仿宋_GB2312"/>
          <w:color w:val="auto"/>
          <w:sz w:val="32"/>
          <w:szCs w:val="32"/>
          <w:highlight w:val="none"/>
          <w:lang w:val="en-US" w:eastAsia="zh-CN"/>
        </w:rPr>
        <w:t>3610.31</w:t>
      </w:r>
      <w:r>
        <w:rPr>
          <w:rFonts w:hint="eastAsia" w:ascii="仿宋_GB2312" w:eastAsia="仿宋_GB2312"/>
          <w:color w:val="auto"/>
          <w:sz w:val="32"/>
          <w:szCs w:val="32"/>
          <w:highlight w:val="none"/>
        </w:rPr>
        <w:t>万元，政府性基金预算支出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万元，国有资本经营预算支出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万元。从评价情况来看，</w:t>
      </w:r>
      <w:r>
        <w:rPr>
          <w:rFonts w:hint="eastAsia" w:ascii="仿宋_GB2312" w:eastAsia="仿宋_GB2312"/>
          <w:color w:val="auto"/>
          <w:sz w:val="32"/>
          <w:szCs w:val="32"/>
          <w:highlight w:val="none"/>
          <w:lang w:eastAsia="zh-CN"/>
        </w:rPr>
        <w:t>评价良好</w:t>
      </w:r>
      <w:r>
        <w:rPr>
          <w:rFonts w:hint="eastAsia" w:ascii="仿宋_GB2312" w:eastAsia="仿宋_GB2312"/>
          <w:color w:val="auto"/>
          <w:sz w:val="32"/>
          <w:szCs w:val="32"/>
          <w:highlight w:val="none"/>
        </w:rPr>
        <w:t>。</w:t>
      </w:r>
    </w:p>
    <w:p w14:paraId="33D8C75A">
      <w:pPr>
        <w:spacing w:line="578" w:lineRule="exact"/>
        <w:ind w:firstLine="640" w:firstLineChars="20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（二）部门决算中项目绩效自评结果（预算部门、单位可根据实际情况反映重点项目绩效自评结果）</w:t>
      </w:r>
    </w:p>
    <w:p w14:paraId="30721006">
      <w:pPr>
        <w:spacing w:line="578"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参照如下格式说明（表述应与决算内容保持一致）：我</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在部门决算中反映</w:t>
      </w:r>
      <w:r>
        <w:rPr>
          <w:rFonts w:hint="eastAsia" w:ascii="仿宋_GB2312" w:eastAsia="仿宋_GB2312"/>
          <w:color w:val="auto"/>
          <w:sz w:val="32"/>
          <w:szCs w:val="32"/>
          <w:highlight w:val="none"/>
          <w:lang w:eastAsia="zh-CN"/>
        </w:rPr>
        <w:t>县</w:t>
      </w:r>
      <w:r>
        <w:rPr>
          <w:rFonts w:hint="eastAsia" w:ascii="仿宋_GB2312" w:eastAsia="仿宋_GB2312"/>
          <w:color w:val="auto"/>
          <w:sz w:val="32"/>
          <w:szCs w:val="32"/>
          <w:highlight w:val="none"/>
        </w:rPr>
        <w:t>级图书总分馆制建设试点</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、色尼区夯措、跋绒沟嘎尓德牧业基地三个AAA级旅游景区规划、创建申报采购项目</w:t>
      </w:r>
      <w:r>
        <w:rPr>
          <w:rFonts w:hint="eastAsia" w:ascii="仿宋_GB2312" w:eastAsia="仿宋_GB2312"/>
          <w:color w:val="auto"/>
          <w:sz w:val="32"/>
          <w:szCs w:val="32"/>
          <w:highlight w:val="none"/>
          <w:lang w:eastAsia="zh-CN"/>
        </w:rPr>
        <w:t>、赛马节活动项目</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个项目绩效自评结果（包括项目绩效自评表和项目绩效自评报告）。</w:t>
      </w:r>
    </w:p>
    <w:p w14:paraId="103F810F">
      <w:pPr>
        <w:spacing w:line="578"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附件：</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县</w:t>
      </w:r>
      <w:r>
        <w:rPr>
          <w:rFonts w:hint="eastAsia" w:ascii="仿宋_GB2312" w:eastAsia="仿宋_GB2312"/>
          <w:color w:val="auto"/>
          <w:sz w:val="32"/>
          <w:szCs w:val="32"/>
          <w:highlight w:val="none"/>
        </w:rPr>
        <w:t>级图书总分馆制建设试点项目绩效自评报告：</w:t>
      </w:r>
      <w:r>
        <w:rPr>
          <w:rFonts w:hint="eastAsia" w:ascii="仿宋_GB2312" w:eastAsia="仿宋_GB2312"/>
          <w:color w:val="auto"/>
          <w:sz w:val="32"/>
          <w:szCs w:val="32"/>
          <w:highlight w:val="none"/>
          <w:lang w:val="en-US" w:eastAsia="zh-CN"/>
        </w:rPr>
        <w:t>已附后</w:t>
      </w:r>
    </w:p>
    <w:p w14:paraId="3F2FFDB4">
      <w:pPr>
        <w:pStyle w:val="26"/>
        <w:spacing w:line="532" w:lineRule="exact"/>
        <w:ind w:left="0" w:leftChars="0" w:firstLine="0" w:firstLineChars="0"/>
        <w:rPr>
          <w:rFonts w:ascii="Times New Roman" w:hAnsi="Times New Roman" w:eastAsia="方正仿宋简体" w:cs="Times New Roman"/>
          <w:color w:val="auto"/>
          <w:sz w:val="32"/>
          <w:szCs w:val="32"/>
          <w:highlight w:val="none"/>
        </w:rPr>
      </w:pPr>
      <w:r>
        <w:rPr>
          <w:rFonts w:hint="eastAsia" w:ascii="仿宋_GB2312" w:eastAsia="仿宋_GB2312"/>
          <w:color w:val="auto"/>
          <w:sz w:val="32"/>
          <w:szCs w:val="32"/>
          <w:highlight w:val="none"/>
          <w:lang w:eastAsia="zh-CN"/>
        </w:rPr>
        <w:t>附件：</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县</w:t>
      </w:r>
      <w:r>
        <w:rPr>
          <w:rFonts w:hint="eastAsia" w:ascii="仿宋_GB2312" w:eastAsia="仿宋_GB2312"/>
          <w:color w:val="auto"/>
          <w:sz w:val="32"/>
          <w:szCs w:val="32"/>
          <w:highlight w:val="none"/>
        </w:rPr>
        <w:t>级图书总分馆制建设试点项目绩效自评表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已附后</w:t>
      </w:r>
    </w:p>
    <w:p w14:paraId="7BE193FF">
      <w:pPr>
        <w:spacing w:line="578" w:lineRule="exact"/>
        <w:ind w:firstLine="640" w:firstLineChars="200"/>
        <w:rPr>
          <w:rFonts w:hint="default"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rPr>
        <w:t>（三）部门评价结果（预算部门填写，部门所属单位不需填写）</w:t>
      </w:r>
      <w:r>
        <w:rPr>
          <w:rFonts w:hint="eastAsia" w:ascii="楷体" w:hAnsi="楷体" w:eastAsia="楷体" w:cs="楷体"/>
          <w:bCs/>
          <w:color w:val="auto"/>
          <w:sz w:val="32"/>
          <w:szCs w:val="32"/>
          <w:highlight w:val="none"/>
          <w:lang w:val="en-US" w:eastAsia="zh-CN"/>
        </w:rPr>
        <w:t xml:space="preserve"> </w:t>
      </w:r>
    </w:p>
    <w:p w14:paraId="3F7F5818">
      <w:pPr>
        <w:spacing w:line="578"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部门评价项目数量在3个以内的，至少将1个部门评价报告向社会公开；部门评价项目数量大于3个的，至少将2个部门评价报告向社会公开。</w:t>
      </w:r>
    </w:p>
    <w:p w14:paraId="3EB94666">
      <w:pPr>
        <w:spacing w:line="578" w:lineRule="exact"/>
        <w:ind w:firstLine="640" w:firstLineChars="20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（四）财政评价结果（如有）</w:t>
      </w:r>
    </w:p>
    <w:p w14:paraId="30D4F148">
      <w:pPr>
        <w:spacing w:line="578"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zh-CN"/>
        </w:rPr>
        <w:t>反映财政部门组织开展的预算部门（单位）重点项目财政评价情况，如有，可将评价报告附后。</w:t>
      </w:r>
    </w:p>
    <w:bookmarkEnd w:id="121"/>
    <w:p w14:paraId="3180EC8E">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十一、其他重要事项情况说明</w:t>
      </w:r>
    </w:p>
    <w:p w14:paraId="14F94B77">
      <w:pPr>
        <w:spacing w:line="578" w:lineRule="exact"/>
        <w:ind w:firstLine="640" w:firstLineChars="200"/>
        <w:rPr>
          <w:rFonts w:ascii="楷体" w:hAnsi="楷体" w:eastAsia="楷体" w:cs="楷体"/>
          <w:bCs/>
          <w:sz w:val="32"/>
          <w:szCs w:val="32"/>
        </w:rPr>
      </w:pPr>
      <w:bookmarkStart w:id="97" w:name="_Toc15262_WPSOffice_Level2"/>
      <w:bookmarkStart w:id="98" w:name="_Toc23598_WPSOffice_Level2"/>
      <w:bookmarkStart w:id="99" w:name="_Toc5978_WPSOffice_Level2"/>
      <w:bookmarkStart w:id="100" w:name="_Toc18325_WPSOffice_Level2"/>
      <w:bookmarkStart w:id="101" w:name="_Toc15565_WPSOffice_Level2"/>
      <w:bookmarkStart w:id="102" w:name="_Toc32639_WPSOffice_Level2"/>
      <w:r>
        <w:rPr>
          <w:rFonts w:hint="eastAsia" w:ascii="楷体" w:hAnsi="楷体" w:eastAsia="楷体" w:cs="楷体"/>
          <w:bCs/>
          <w:sz w:val="32"/>
          <w:szCs w:val="32"/>
        </w:rPr>
        <w:t>（一）机关运行经费支出情况</w:t>
      </w:r>
      <w:bookmarkEnd w:id="97"/>
      <w:bookmarkEnd w:id="98"/>
      <w:bookmarkEnd w:id="99"/>
      <w:bookmarkEnd w:id="100"/>
      <w:bookmarkEnd w:id="101"/>
      <w:bookmarkEnd w:id="102"/>
    </w:p>
    <w:p w14:paraId="428B9057">
      <w:pPr>
        <w:spacing w:line="578" w:lineRule="exact"/>
        <w:ind w:firstLine="640" w:firstLineChars="200"/>
        <w:rPr>
          <w:rFonts w:hint="default" w:ascii="仿宋_GB2312" w:hAnsi="ˎ̥" w:eastAsia="仿宋_GB2312"/>
          <w:color w:val="auto"/>
          <w:sz w:val="32"/>
          <w:szCs w:val="32"/>
          <w:lang w:val="en-US" w:eastAsia="zh-CN"/>
        </w:rPr>
      </w:pPr>
      <w:r>
        <w:rPr>
          <w:rFonts w:ascii="仿宋_GB2312" w:hAnsi="ˎ̥" w:eastAsia="仿宋_GB2312"/>
          <w:color w:val="auto"/>
          <w:sz w:val="32"/>
          <w:szCs w:val="32"/>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色尼区文旅局</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65.16</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2.86</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%；与2023年度相比，机关运行经费增加（减少）</w:t>
      </w:r>
      <w:r>
        <w:rPr>
          <w:rFonts w:hint="eastAsia" w:ascii="仿宋_GB2312" w:hAnsi="ˎ̥" w:eastAsia="仿宋_GB2312"/>
          <w:color w:val="auto"/>
          <w:sz w:val="32"/>
          <w:szCs w:val="32"/>
          <w:lang w:val="en-US" w:eastAsia="zh-CN"/>
        </w:rPr>
        <w:t>14.15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27.74</w:t>
      </w:r>
      <w:r>
        <w:rPr>
          <w:rFonts w:hint="eastAsia" w:ascii="仿宋_GB2312" w:hAnsi="ˎ̥" w:eastAsia="仿宋_GB2312"/>
          <w:color w:val="auto"/>
          <w:sz w:val="32"/>
          <w:szCs w:val="32"/>
        </w:rPr>
        <w:t>%。主要原因是：人员编制数量增加</w:t>
      </w:r>
      <w:r>
        <w:rPr>
          <w:rFonts w:hint="eastAsia" w:ascii="仿宋_GB2312" w:hAnsi="ˎ̥" w:eastAsia="仿宋_GB2312"/>
          <w:color w:val="auto"/>
          <w:sz w:val="32"/>
          <w:szCs w:val="32"/>
          <w:lang w:val="en-US" w:eastAsia="zh-CN"/>
        </w:rPr>
        <w:t>4人，</w:t>
      </w:r>
      <w:r>
        <w:rPr>
          <w:rFonts w:hint="eastAsia" w:ascii="仿宋_GB2312" w:hAnsi="ˎ̥" w:eastAsia="仿宋_GB2312"/>
          <w:color w:val="auto"/>
          <w:sz w:val="32"/>
          <w:szCs w:val="32"/>
          <w:lang w:eastAsia="zh-CN"/>
        </w:rPr>
        <w:t>人均收入增加</w:t>
      </w:r>
      <w:r>
        <w:rPr>
          <w:rFonts w:hint="eastAsia" w:ascii="仿宋_GB2312" w:hAnsi="ˎ̥" w:eastAsia="仿宋_GB2312"/>
          <w:color w:val="auto"/>
          <w:sz w:val="32"/>
          <w:szCs w:val="32"/>
          <w:lang w:val="en-US" w:eastAsia="zh-CN"/>
        </w:rPr>
        <w:t>1.5万元。</w:t>
      </w:r>
    </w:p>
    <w:p w14:paraId="7CDD6BAB">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ascii="仿宋_GB2312" w:hAnsi="ˎ̥" w:eastAsia="仿宋_GB2312"/>
          <w:color w:val="auto"/>
          <w:sz w:val="32"/>
          <w:szCs w:val="32"/>
        </w:rPr>
        <w:t>2024</w:t>
      </w:r>
      <w:r>
        <w:rPr>
          <w:rFonts w:hint="eastAsia" w:ascii="仿宋_GB2312" w:hAnsi="ˎ̥" w:eastAsia="仿宋_GB2312"/>
          <w:color w:val="auto"/>
          <w:sz w:val="32"/>
          <w:szCs w:val="32"/>
        </w:rPr>
        <w:t>年度部门决算报表F03表《机构运行信息表》“机关运行经费”栏。）</w:t>
      </w:r>
    </w:p>
    <w:p w14:paraId="58D33F7E">
      <w:pPr>
        <w:spacing w:line="578" w:lineRule="exact"/>
        <w:ind w:firstLine="640" w:firstLineChars="200"/>
        <w:rPr>
          <w:rFonts w:ascii="楷体" w:hAnsi="楷体" w:eastAsia="楷体" w:cs="楷体"/>
          <w:bCs/>
          <w:color w:val="auto"/>
          <w:sz w:val="32"/>
          <w:szCs w:val="32"/>
        </w:rPr>
      </w:pPr>
      <w:bookmarkStart w:id="103" w:name="_Toc30383_WPSOffice_Level2"/>
      <w:bookmarkStart w:id="104" w:name="_Toc25333_WPSOffice_Level2"/>
      <w:bookmarkStart w:id="105" w:name="_Toc13084_WPSOffice_Level2"/>
      <w:bookmarkStart w:id="106" w:name="_Toc23966_WPSOffice_Level2"/>
      <w:bookmarkStart w:id="107" w:name="_Toc3131_WPSOffice_Level2"/>
      <w:bookmarkStart w:id="108" w:name="_Toc32689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14:paraId="181F47B0">
      <w:pPr>
        <w:spacing w:line="578" w:lineRule="exact"/>
        <w:ind w:firstLine="640" w:firstLineChars="200"/>
        <w:jc w:val="left"/>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色尼区文旅局</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1C5EBC62">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上述政府采购支出相关数据取自</w:t>
      </w:r>
      <w:r>
        <w:rPr>
          <w:rFonts w:ascii="仿宋_GB2312" w:hAnsi="ˎ̥" w:eastAsia="仿宋_GB2312"/>
          <w:color w:val="auto"/>
          <w:sz w:val="32"/>
          <w:szCs w:val="32"/>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14:paraId="6F1E36D7">
      <w:pPr>
        <w:spacing w:line="578" w:lineRule="exact"/>
        <w:ind w:firstLine="640" w:firstLineChars="200"/>
        <w:rPr>
          <w:rFonts w:ascii="楷体" w:hAnsi="楷体" w:eastAsia="楷体" w:cs="楷体"/>
          <w:bCs/>
          <w:color w:val="auto"/>
          <w:sz w:val="32"/>
          <w:szCs w:val="32"/>
        </w:rPr>
      </w:pPr>
      <w:bookmarkStart w:id="109" w:name="_Toc6016_WPSOffice_Level2"/>
      <w:bookmarkStart w:id="110" w:name="_Toc19989_WPSOffice_Level2"/>
      <w:bookmarkStart w:id="111" w:name="_Toc15129_WPSOffice_Level2"/>
      <w:bookmarkStart w:id="112" w:name="_Toc29584_WPSOffice_Level2"/>
      <w:bookmarkStart w:id="113" w:name="_Toc10902_WPSOffice_Level2"/>
      <w:bookmarkStart w:id="114" w:name="_Toc527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14:paraId="2D9A9FD9">
      <w:pPr>
        <w:spacing w:line="578" w:lineRule="exact"/>
        <w:ind w:firstLine="640" w:firstLineChars="200"/>
        <w:rPr>
          <w:rFonts w:ascii="仿宋_GB2312" w:hAnsi="ˎ̥" w:eastAsia="仿宋_GB2312"/>
          <w:color w:val="auto"/>
          <w:sz w:val="32"/>
          <w:szCs w:val="32"/>
        </w:rPr>
      </w:pPr>
      <w:r>
        <w:rPr>
          <w:rFonts w:hint="eastAsia" w:ascii="仿宋_GB2312" w:hAnsi="ˎ̥" w:eastAsia="仿宋_GB2312"/>
          <w:bCs/>
          <w:color w:val="auto"/>
          <w:sz w:val="32"/>
          <w:szCs w:val="32"/>
        </w:rPr>
        <w:t>截至</w:t>
      </w:r>
      <w:r>
        <w:rPr>
          <w:rFonts w:ascii="仿宋_GB2312" w:hAnsi="ˎ̥" w:eastAsia="仿宋_GB2312"/>
          <w:bCs/>
          <w:color w:val="auto"/>
          <w:sz w:val="32"/>
          <w:szCs w:val="32"/>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p>
    <w:p w14:paraId="047C0239">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eastAsia="zh-CN"/>
        </w:rPr>
        <w:t>艺术团去公益演出时搬运演出音响等设备</w:t>
      </w:r>
      <w:r>
        <w:rPr>
          <w:rFonts w:hint="eastAsia" w:ascii="仿宋_GB2312" w:hAnsi="ˎ̥" w:eastAsia="仿宋_GB2312"/>
          <w:color w:val="auto"/>
          <w:sz w:val="32"/>
          <w:szCs w:val="32"/>
        </w:rPr>
        <w:t xml:space="preserve">。     </w:t>
      </w:r>
    </w:p>
    <w:p w14:paraId="3D2DD8D1">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14:paraId="4A94ED1A">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上述国有资产占用情况相关数据取自</w:t>
      </w:r>
      <w:r>
        <w:rPr>
          <w:rFonts w:ascii="仿宋_GB2312" w:hAnsi="ˎ̥" w:eastAsia="仿宋_GB2312"/>
          <w:color w:val="auto"/>
          <w:sz w:val="32"/>
          <w:szCs w:val="32"/>
        </w:rPr>
        <w:t>2024</w:t>
      </w:r>
      <w:r>
        <w:rPr>
          <w:rFonts w:hint="eastAsia" w:ascii="仿宋_GB2312" w:hAnsi="ˎ̥" w:eastAsia="仿宋_GB2312"/>
          <w:color w:val="auto"/>
          <w:sz w:val="32"/>
          <w:szCs w:val="32"/>
        </w:rPr>
        <w:t>年度部门决算F0</w:t>
      </w:r>
      <w:r>
        <w:rPr>
          <w:rFonts w:ascii="仿宋_GB2312" w:hAnsi="ˎ̥" w:eastAsia="仿宋_GB2312"/>
          <w:color w:val="auto"/>
          <w:sz w:val="32"/>
          <w:szCs w:val="32"/>
        </w:rPr>
        <w:t>2</w:t>
      </w:r>
      <w:r>
        <w:rPr>
          <w:rFonts w:hint="eastAsia" w:ascii="仿宋_GB2312" w:hAnsi="ˎ̥" w:eastAsia="仿宋_GB2312"/>
          <w:color w:val="auto"/>
          <w:sz w:val="32"/>
          <w:szCs w:val="32"/>
        </w:rPr>
        <w:t>表《预算支出相关信息表》、F03表《机构运行信息表》。）</w:t>
      </w:r>
    </w:p>
    <w:p w14:paraId="404D738E">
      <w:pPr>
        <w:spacing w:line="578" w:lineRule="exact"/>
        <w:jc w:val="center"/>
        <w:rPr>
          <w:rFonts w:ascii="黑体" w:hAnsi="ˎ̥" w:eastAsia="黑体"/>
          <w:color w:val="auto"/>
          <w:sz w:val="32"/>
          <w:szCs w:val="32"/>
        </w:rPr>
      </w:pPr>
      <w:bookmarkStart w:id="115" w:name="_Toc8808_WPSOffice_Level1"/>
      <w:bookmarkStart w:id="116" w:name="_Toc4398_WPSOffice_Level1"/>
      <w:bookmarkStart w:id="117" w:name="_Toc11039_WPSOffice_Level1"/>
      <w:bookmarkStart w:id="118" w:name="_Toc8874_WPSOffice_Level1"/>
      <w:bookmarkStart w:id="119" w:name="_Toc17580_WPSOffice_Level1"/>
      <w:bookmarkStart w:id="120" w:name="_Toc15425_WPSOffice_Level1"/>
    </w:p>
    <w:p w14:paraId="67E2D94F">
      <w:pPr>
        <w:spacing w:line="578" w:lineRule="exact"/>
        <w:jc w:val="center"/>
        <w:rPr>
          <w:rFonts w:hint="eastAsia" w:ascii="黑体" w:hAnsi="ˎ̥" w:eastAsia="黑体"/>
          <w:color w:val="auto"/>
          <w:sz w:val="32"/>
          <w:szCs w:val="32"/>
        </w:rPr>
      </w:pPr>
    </w:p>
    <w:p w14:paraId="32DDCA5D">
      <w:pPr>
        <w:spacing w:line="578" w:lineRule="exact"/>
        <w:jc w:val="center"/>
        <w:rPr>
          <w:rFonts w:ascii="黑体" w:hAnsi="ˎ̥" w:eastAsia="黑体"/>
          <w:sz w:val="32"/>
          <w:szCs w:val="32"/>
        </w:rPr>
      </w:pPr>
      <w:r>
        <w:rPr>
          <w:rFonts w:hint="eastAsia" w:ascii="黑体" w:hAnsi="ˎ̥" w:eastAsia="黑体"/>
          <w:sz w:val="32"/>
          <w:szCs w:val="32"/>
        </w:rPr>
        <w:t>第四部分  名词解释</w:t>
      </w:r>
      <w:bookmarkEnd w:id="115"/>
      <w:bookmarkEnd w:id="116"/>
      <w:bookmarkEnd w:id="117"/>
      <w:bookmarkEnd w:id="118"/>
      <w:bookmarkEnd w:id="119"/>
      <w:bookmarkEnd w:id="120"/>
    </w:p>
    <w:p w14:paraId="6B7DC75F">
      <w:pPr>
        <w:spacing w:line="578" w:lineRule="exact"/>
        <w:jc w:val="center"/>
        <w:rPr>
          <w:rFonts w:ascii="黑体" w:hAnsi="ˎ̥" w:eastAsia="黑体"/>
          <w:sz w:val="32"/>
          <w:szCs w:val="32"/>
        </w:rPr>
      </w:pPr>
    </w:p>
    <w:p w14:paraId="6F8618F9">
      <w:pPr>
        <w:numPr>
          <w:ilvl w:val="0"/>
          <w:numId w:val="4"/>
        </w:num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17C8BEEA">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57734048">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585B1213">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4EEAB89D">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53CB4534">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316778B2">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07F46FF8">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2E1F917D">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14674755">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64FEB77A">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4877E247">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C0610B2">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4BE38243">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280570DB">
      <w:pPr>
        <w:spacing w:line="578" w:lineRule="exact"/>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673ECAE3">
      <w:pPr>
        <w:spacing w:line="578" w:lineRule="exact"/>
        <w:ind w:firstLine="645"/>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74FAFAC6">
      <w:pPr>
        <w:spacing w:line="578" w:lineRule="exact"/>
        <w:ind w:firstLine="645"/>
        <w:rPr>
          <w:rFonts w:ascii="仿宋_GB2312" w:hAnsi="ˎ̥" w:eastAsia="仿宋_GB2312"/>
          <w:sz w:val="32"/>
          <w:szCs w:val="32"/>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rPr>
        <w:t>；</w:t>
      </w:r>
    </w:p>
    <w:p w14:paraId="040E901C">
      <w:pPr>
        <w:spacing w:line="578" w:lineRule="exact"/>
        <w:ind w:firstLine="645"/>
        <w:rPr>
          <w:rFonts w:ascii="仿宋_GB2312" w:hAnsi="ˎ̥" w:eastAsia="仿宋_GB2312"/>
          <w:sz w:val="32"/>
          <w:szCs w:val="32"/>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rPr>
        <w:t>。</w:t>
      </w:r>
    </w:p>
    <w:p w14:paraId="3423B510">
      <w:pPr>
        <w:spacing w:line="578" w:lineRule="exact"/>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支出功能分类的名词解释，各预算部门、单位根据实际支出情况填列，可参阅财政部印发的《</w:t>
      </w:r>
      <w:r>
        <w:rPr>
          <w:rFonts w:ascii="仿宋_GB2312" w:hAnsi="ˎ̥" w:eastAsia="仿宋_GB2312"/>
          <w:sz w:val="32"/>
          <w:szCs w:val="32"/>
        </w:rPr>
        <w:t>2024</w:t>
      </w:r>
      <w:r>
        <w:rPr>
          <w:rFonts w:hint="eastAsia" w:ascii="仿宋_GB2312" w:hAnsi="ˎ̥" w:eastAsia="仿宋_GB2312"/>
          <w:sz w:val="32"/>
          <w:szCs w:val="32"/>
        </w:rPr>
        <w:t>年政府收支分类科目》。）</w:t>
      </w:r>
    </w:p>
    <w:p w14:paraId="5167BA47">
      <w:pPr>
        <w:spacing w:line="532" w:lineRule="exact"/>
        <w:jc w:val="center"/>
        <w:rPr>
          <w:rFonts w:hint="eastAsia" w:ascii="仿宋_GB2312" w:hAnsi="ˎ̥" w:eastAsia="仿宋_GB2312"/>
          <w:sz w:val="32"/>
          <w:szCs w:val="32"/>
          <w:lang w:eastAsia="zh-CN"/>
        </w:rPr>
      </w:pPr>
      <w:r>
        <w:rPr>
          <w:rFonts w:hint="eastAsia" w:ascii="仿宋_GB2312" w:hAnsi="ˎ̥" w:eastAsia="仿宋_GB2312"/>
          <w:sz w:val="32"/>
          <w:szCs w:val="32"/>
          <w:lang w:eastAsia="zh-CN"/>
        </w:rPr>
        <w:t>附件：</w:t>
      </w:r>
      <w:r>
        <w:rPr>
          <w:rFonts w:hint="eastAsia" w:ascii="仿宋_GB2312" w:hAnsi="ˎ̥" w:eastAsia="仿宋_GB2312"/>
          <w:sz w:val="32"/>
          <w:szCs w:val="32"/>
          <w:lang w:val="en-US" w:eastAsia="zh-CN"/>
        </w:rPr>
        <w:t>1</w:t>
      </w:r>
      <w:r>
        <w:rPr>
          <w:rFonts w:hint="eastAsia" w:ascii="仿宋_GB2312" w:hAnsi="ˎ̥" w:eastAsia="仿宋_GB2312"/>
          <w:sz w:val="32"/>
          <w:szCs w:val="32"/>
        </w:rPr>
        <w:t>西藏自治区那曲市色尼区</w:t>
      </w:r>
      <w:r>
        <w:rPr>
          <w:rFonts w:hint="eastAsia" w:ascii="仿宋_GB2312" w:hAnsi="ˎ̥" w:eastAsia="仿宋_GB2312"/>
          <w:sz w:val="32"/>
          <w:szCs w:val="32"/>
          <w:lang w:val="en-US" w:eastAsia="zh-CN"/>
        </w:rPr>
        <w:t>文旅局中央转移</w:t>
      </w:r>
      <w:r>
        <w:rPr>
          <w:rFonts w:hint="eastAsia" w:ascii="仿宋_GB2312" w:hAnsi="ˎ̥" w:eastAsia="仿宋_GB2312"/>
          <w:sz w:val="32"/>
          <w:szCs w:val="32"/>
        </w:rPr>
        <w:t>支付</w:t>
      </w:r>
      <w:r>
        <w:rPr>
          <w:rFonts w:hint="eastAsia" w:ascii="仿宋_GB2312" w:hAnsi="ˎ̥" w:eastAsia="仿宋_GB2312"/>
          <w:sz w:val="32"/>
          <w:szCs w:val="32"/>
          <w:lang w:val="en-US" w:eastAsia="zh-CN"/>
        </w:rPr>
        <w:t>县级文化图书分馆总分管制度建设项目</w:t>
      </w:r>
      <w:r>
        <w:rPr>
          <w:rFonts w:hint="eastAsia" w:ascii="仿宋_GB2312" w:hAnsi="ˎ̥" w:eastAsia="仿宋_GB2312"/>
          <w:sz w:val="32"/>
          <w:szCs w:val="32"/>
        </w:rPr>
        <w:t>绩效自评报告</w:t>
      </w:r>
      <w:r>
        <w:rPr>
          <w:rFonts w:hint="eastAsia" w:ascii="仿宋_GB2312" w:hAnsi="ˎ̥" w:eastAsia="仿宋_GB2312"/>
          <w:sz w:val="32"/>
          <w:szCs w:val="32"/>
          <w:lang w:eastAsia="zh-CN"/>
        </w:rPr>
        <w:t>。</w:t>
      </w:r>
    </w:p>
    <w:p w14:paraId="0DD18200">
      <w:pPr>
        <w:spacing w:line="532" w:lineRule="exact"/>
        <w:ind w:left="960" w:hanging="960" w:hangingChars="300"/>
        <w:jc w:val="left"/>
        <w:rPr>
          <w:rFonts w:hint="eastAsia" w:ascii="仿宋_GB2312" w:hAnsi="ˎ̥" w:eastAsia="仿宋_GB2312"/>
          <w:sz w:val="32"/>
          <w:szCs w:val="32"/>
          <w:lang w:val="en-US" w:eastAsia="zh-CN"/>
        </w:rPr>
      </w:pPr>
      <w:r>
        <w:rPr>
          <w:rFonts w:hint="eastAsia" w:ascii="仿宋_GB2312" w:hAnsi="ˎ̥" w:eastAsia="仿宋_GB2312"/>
          <w:sz w:val="32"/>
          <w:szCs w:val="32"/>
          <w:lang w:eastAsia="zh-CN"/>
        </w:rPr>
        <w:t>附件：</w:t>
      </w:r>
      <w:r>
        <w:rPr>
          <w:rFonts w:hint="eastAsia" w:ascii="仿宋_GB2312" w:hAnsi="ˎ̥" w:eastAsia="仿宋_GB2312"/>
          <w:sz w:val="32"/>
          <w:szCs w:val="32"/>
          <w:lang w:val="en-US" w:eastAsia="zh-CN"/>
        </w:rPr>
        <w:t>2那曲市色尼区文旅局中央转移支付县级文化图书馆总分馆制度建设项目绩效目标表。</w:t>
      </w:r>
    </w:p>
    <w:p w14:paraId="3AB3C800">
      <w:pPr>
        <w:spacing w:line="578" w:lineRule="exact"/>
        <w:jc w:val="left"/>
        <w:rPr>
          <w:rFonts w:hint="eastAsia" w:ascii="仿宋_GB2312" w:hAnsi="ˎ̥" w:eastAsia="仿宋_GB2312"/>
          <w:sz w:val="32"/>
          <w:szCs w:val="32"/>
        </w:rPr>
      </w:pPr>
    </w:p>
    <w:p w14:paraId="12612596">
      <w:pPr>
        <w:spacing w:line="578" w:lineRule="exact"/>
        <w:rPr>
          <w:rFonts w:hint="eastAsia" w:ascii="仿宋_GB2312" w:hAnsi="ˎ̥" w:eastAsia="仿宋_GB2312"/>
          <w:sz w:val="32"/>
          <w:szCs w:val="32"/>
        </w:rPr>
      </w:pPr>
    </w:p>
    <w:p w14:paraId="2CD611E0">
      <w:pPr>
        <w:spacing w:line="578" w:lineRule="exact"/>
        <w:rPr>
          <w:rFonts w:hint="eastAsia" w:ascii="仿宋_GB2312" w:hAnsi="ˎ̥" w:eastAsia="仿宋_GB2312"/>
          <w:sz w:val="32"/>
          <w:szCs w:val="32"/>
        </w:rPr>
      </w:pPr>
    </w:p>
    <w:p w14:paraId="425F9760">
      <w:pPr>
        <w:spacing w:line="578" w:lineRule="exact"/>
        <w:rPr>
          <w:rFonts w:hint="eastAsia" w:ascii="仿宋_GB2312" w:hAnsi="ˎ̥" w:eastAsia="仿宋_GB2312"/>
          <w:sz w:val="32"/>
          <w:szCs w:val="32"/>
        </w:rPr>
      </w:pPr>
    </w:p>
    <w:p w14:paraId="6A4C4564">
      <w:pPr>
        <w:spacing w:line="578" w:lineRule="exact"/>
        <w:rPr>
          <w:rFonts w:hint="eastAsia" w:ascii="仿宋_GB2312" w:hAnsi="ˎ̥" w:eastAsia="仿宋_GB2312"/>
          <w:sz w:val="32"/>
          <w:szCs w:val="32"/>
        </w:rPr>
      </w:pPr>
    </w:p>
    <w:p w14:paraId="7148D023">
      <w:pPr>
        <w:spacing w:line="578" w:lineRule="exact"/>
        <w:rPr>
          <w:rFonts w:hint="eastAsia" w:ascii="仿宋_GB2312" w:hAnsi="ˎ̥" w:eastAsia="仿宋_GB2312"/>
          <w:sz w:val="32"/>
          <w:szCs w:val="32"/>
        </w:rPr>
      </w:pPr>
    </w:p>
    <w:p w14:paraId="634B6422">
      <w:pPr>
        <w:spacing w:line="578" w:lineRule="exact"/>
        <w:rPr>
          <w:rFonts w:hint="eastAsia" w:ascii="仿宋_GB2312" w:hAnsi="ˎ̥" w:eastAsia="仿宋_GB2312"/>
          <w:sz w:val="32"/>
          <w:szCs w:val="32"/>
        </w:rPr>
      </w:pPr>
    </w:p>
    <w:p w14:paraId="0D0FD4C2">
      <w:pPr>
        <w:spacing w:line="578" w:lineRule="exact"/>
        <w:rPr>
          <w:rFonts w:hint="eastAsia" w:ascii="仿宋_GB2312" w:hAnsi="ˎ̥" w:eastAsia="仿宋_GB2312"/>
          <w:sz w:val="32"/>
          <w:szCs w:val="32"/>
        </w:rPr>
      </w:pPr>
    </w:p>
    <w:p w14:paraId="7631E8CF">
      <w:pPr>
        <w:spacing w:line="578" w:lineRule="exact"/>
        <w:rPr>
          <w:rFonts w:hint="eastAsia" w:ascii="仿宋_GB2312" w:hAnsi="ˎ̥" w:eastAsia="仿宋_GB2312"/>
          <w:sz w:val="32"/>
          <w:szCs w:val="32"/>
        </w:rPr>
      </w:pPr>
    </w:p>
    <w:p w14:paraId="1F250F88">
      <w:pPr>
        <w:spacing w:line="578" w:lineRule="exact"/>
        <w:rPr>
          <w:rFonts w:hint="eastAsia" w:ascii="仿宋_GB2312" w:hAnsi="ˎ̥" w:eastAsia="仿宋_GB2312"/>
          <w:sz w:val="32"/>
          <w:szCs w:val="32"/>
        </w:rPr>
      </w:pPr>
    </w:p>
    <w:p w14:paraId="54D28E36">
      <w:pPr>
        <w:spacing w:line="578" w:lineRule="exact"/>
        <w:rPr>
          <w:rFonts w:hint="eastAsia" w:ascii="仿宋_GB2312" w:hAnsi="ˎ̥" w:eastAsia="仿宋_GB2312"/>
          <w:sz w:val="32"/>
          <w:szCs w:val="32"/>
        </w:rPr>
      </w:pPr>
    </w:p>
    <w:p w14:paraId="17D6F7E4">
      <w:pPr>
        <w:spacing w:line="578" w:lineRule="exact"/>
        <w:rPr>
          <w:rFonts w:hint="eastAsia" w:ascii="仿宋_GB2312" w:hAnsi="ˎ̥" w:eastAsia="仿宋_GB2312"/>
          <w:sz w:val="32"/>
          <w:szCs w:val="32"/>
        </w:rPr>
      </w:pPr>
    </w:p>
    <w:p w14:paraId="5BA49ABC">
      <w:pPr>
        <w:spacing w:line="532" w:lineRule="exact"/>
        <w:jc w:val="both"/>
        <w:rPr>
          <w:rFonts w:ascii="Times New Roman" w:hAnsi="Times New Roman" w:eastAsia="方正小标宋简体" w:cs="Times New Roman"/>
          <w:sz w:val="44"/>
          <w:szCs w:val="44"/>
        </w:rPr>
      </w:pPr>
    </w:p>
    <w:p w14:paraId="332D6568">
      <w:pPr>
        <w:spacing w:line="532" w:lineRule="exact"/>
        <w:jc w:val="left"/>
        <w:rPr>
          <w:rFonts w:hint="eastAsia" w:eastAsia="方正小标宋简体" w:cs="Times New Roman"/>
          <w:sz w:val="44"/>
          <w:szCs w:val="44"/>
          <w:lang w:val="en-US" w:eastAsia="zh-CN"/>
        </w:rPr>
      </w:pPr>
      <w:r>
        <w:rPr>
          <w:rFonts w:hint="eastAsia" w:eastAsia="方正小标宋简体" w:cs="Times New Roman"/>
          <w:sz w:val="44"/>
          <w:szCs w:val="44"/>
          <w:lang w:eastAsia="zh-CN"/>
        </w:rPr>
        <w:t>附件</w:t>
      </w:r>
      <w:r>
        <w:rPr>
          <w:rFonts w:hint="eastAsia" w:eastAsia="方正小标宋简体" w:cs="Times New Roman"/>
          <w:sz w:val="44"/>
          <w:szCs w:val="44"/>
          <w:lang w:val="en-US" w:eastAsia="zh-CN"/>
        </w:rPr>
        <w:t>1</w:t>
      </w:r>
    </w:p>
    <w:p w14:paraId="1349F505">
      <w:pPr>
        <w:spacing w:line="532" w:lineRule="exact"/>
        <w:jc w:val="left"/>
        <w:rPr>
          <w:rFonts w:hint="default" w:eastAsia="方正小标宋简体" w:cs="Times New Roman"/>
          <w:sz w:val="44"/>
          <w:szCs w:val="44"/>
          <w:lang w:val="en-US" w:eastAsia="zh-CN"/>
        </w:rPr>
      </w:pPr>
    </w:p>
    <w:p w14:paraId="09AACA7C">
      <w:pPr>
        <w:spacing w:line="532" w:lineRule="exact"/>
        <w:jc w:val="center"/>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西藏自治区那曲市色尼区</w:t>
      </w:r>
      <w:r>
        <w:rPr>
          <w:rFonts w:hint="eastAsia" w:ascii="Times New Roman" w:hAnsi="Times New Roman" w:eastAsia="方正小标宋简体" w:cs="Times New Roman"/>
          <w:sz w:val="44"/>
          <w:szCs w:val="44"/>
          <w:lang w:val="en-US" w:eastAsia="zh-CN"/>
        </w:rPr>
        <w:t>文旅局</w:t>
      </w:r>
      <w:r>
        <w:rPr>
          <w:rFonts w:hint="eastAsia" w:ascii="Times New Roman" w:hAnsi="Times New Roman" w:eastAsia="方正小标宋简体" w:cs="Times New Roman"/>
          <w:b/>
          <w:bCs/>
          <w:sz w:val="44"/>
          <w:szCs w:val="44"/>
          <w:lang w:val="en-US" w:eastAsia="zh-CN"/>
        </w:rPr>
        <w:t>中央</w:t>
      </w:r>
      <w:r>
        <w:rPr>
          <w:rFonts w:hint="eastAsia" w:ascii="Times New Roman" w:hAnsi="Times New Roman" w:eastAsia="方正小标宋简体" w:cs="Times New Roman"/>
          <w:sz w:val="44"/>
          <w:szCs w:val="44"/>
          <w:lang w:val="en-US" w:eastAsia="zh-CN"/>
        </w:rPr>
        <w:t>转移</w:t>
      </w:r>
      <w:r>
        <w:rPr>
          <w:rFonts w:ascii="Times New Roman" w:hAnsi="Times New Roman" w:eastAsia="方正小标宋简体" w:cs="Times New Roman"/>
          <w:sz w:val="44"/>
          <w:szCs w:val="44"/>
        </w:rPr>
        <w:t>支付</w:t>
      </w:r>
      <w:r>
        <w:rPr>
          <w:rFonts w:hint="eastAsia" w:ascii="Times New Roman" w:hAnsi="Times New Roman" w:eastAsia="方正小标宋简体" w:cs="Times New Roman"/>
          <w:sz w:val="44"/>
          <w:szCs w:val="44"/>
          <w:lang w:val="en-US" w:eastAsia="zh-CN"/>
        </w:rPr>
        <w:t>县级文化图书分馆总分管制度建设项</w:t>
      </w:r>
    </w:p>
    <w:p w14:paraId="4173F8BC">
      <w:pPr>
        <w:spacing w:line="532"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目</w:t>
      </w:r>
      <w:r>
        <w:rPr>
          <w:rFonts w:ascii="Times New Roman" w:hAnsi="Times New Roman" w:eastAsia="方正小标宋简体" w:cs="Times New Roman"/>
          <w:sz w:val="44"/>
          <w:szCs w:val="44"/>
        </w:rPr>
        <w:t>绩效自评报告</w:t>
      </w:r>
    </w:p>
    <w:p w14:paraId="326AE0F0">
      <w:pPr>
        <w:pStyle w:val="26"/>
        <w:spacing w:line="532" w:lineRule="exact"/>
        <w:ind w:firstLine="64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一、绩效目标分解下达情况</w:t>
      </w:r>
    </w:p>
    <w:p w14:paraId="1C242319">
      <w:pPr>
        <w:pStyle w:val="26"/>
        <w:spacing w:line="532" w:lineRule="exact"/>
        <w:ind w:firstLine="64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（一）财政衔接资金下达预算及项目情况</w:t>
      </w:r>
    </w:p>
    <w:p w14:paraId="504A7E5E">
      <w:pPr>
        <w:pStyle w:val="26"/>
        <w:spacing w:line="532"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色尼区</w:t>
      </w:r>
      <w:r>
        <w:rPr>
          <w:rFonts w:hint="eastAsia" w:ascii="仿宋" w:hAnsi="仿宋" w:eastAsia="仿宋" w:cs="仿宋"/>
          <w:sz w:val="32"/>
          <w:szCs w:val="32"/>
        </w:rPr>
        <w:t>共下达县级文化图书分馆总分管制度建设项目</w:t>
      </w:r>
      <w:r>
        <w:rPr>
          <w:rFonts w:hint="eastAsia" w:ascii="仿宋" w:hAnsi="仿宋" w:eastAsia="仿宋" w:cs="仿宋"/>
          <w:sz w:val="32"/>
          <w:szCs w:val="32"/>
          <w:lang w:val="en-US" w:eastAsia="zh-CN"/>
        </w:rPr>
        <w:t>资金150</w:t>
      </w:r>
      <w:r>
        <w:rPr>
          <w:rFonts w:hint="eastAsia" w:ascii="仿宋" w:hAnsi="仿宋" w:eastAsia="仿宋" w:cs="仿宋"/>
          <w:sz w:val="32"/>
          <w:szCs w:val="32"/>
        </w:rPr>
        <w:t>万元，色财预指〔202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号下达资金</w:t>
      </w:r>
      <w:r>
        <w:rPr>
          <w:rFonts w:hint="eastAsia" w:ascii="仿宋" w:hAnsi="仿宋" w:eastAsia="仿宋" w:cs="仿宋"/>
          <w:sz w:val="32"/>
          <w:szCs w:val="32"/>
          <w:lang w:val="en-US" w:eastAsia="zh-CN"/>
        </w:rPr>
        <w:t>150</w:t>
      </w:r>
      <w:r>
        <w:rPr>
          <w:rFonts w:hint="eastAsia" w:ascii="仿宋" w:hAnsi="仿宋" w:eastAsia="仿宋" w:cs="仿宋"/>
          <w:sz w:val="32"/>
          <w:szCs w:val="32"/>
        </w:rPr>
        <w:t>万元。</w:t>
      </w:r>
    </w:p>
    <w:p w14:paraId="75D44F08">
      <w:pPr>
        <w:pStyle w:val="26"/>
        <w:spacing w:line="532" w:lineRule="exact"/>
        <w:ind w:firstLine="64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w:t>
      </w:r>
      <w:r>
        <w:rPr>
          <w:rFonts w:ascii="方正楷体简体" w:hAnsi="方正楷体简体" w:eastAsia="方正楷体简体" w:cs="方正楷体简体"/>
          <w:sz w:val="32"/>
          <w:szCs w:val="32"/>
        </w:rPr>
        <w:t>绩效目标</w:t>
      </w:r>
    </w:p>
    <w:p w14:paraId="48C210C3">
      <w:pPr>
        <w:pStyle w:val="26"/>
        <w:spacing w:line="532" w:lineRule="exact"/>
        <w:ind w:firstLine="640"/>
        <w:rPr>
          <w:rFonts w:ascii="仿宋" w:hAnsi="仿宋" w:eastAsia="仿宋" w:cs="仿宋"/>
          <w:sz w:val="32"/>
          <w:szCs w:val="32"/>
        </w:rPr>
      </w:pPr>
      <w:r>
        <w:rPr>
          <w:rFonts w:hint="eastAsia" w:ascii="方正仿宋简体" w:hAnsi="方正仿宋简体" w:eastAsia="方正仿宋简体" w:cs="方正仿宋简体"/>
          <w:sz w:val="32"/>
          <w:szCs w:val="32"/>
          <w:lang w:val="en-US" w:eastAsia="zh-CN"/>
        </w:rPr>
        <w:t>深入贯彻落实西藏自治区文化厅《关于印发&lt;西藏自治区县区级文化馆图书馆总分馆制建设试点工作实施方案&gt;的通知》，切实做好色尼区图书馆总分馆制建设工作，</w:t>
      </w:r>
      <w:r>
        <w:rPr>
          <w:rFonts w:hint="eastAsia" w:ascii="仿宋" w:hAnsi="仿宋" w:eastAsia="仿宋" w:cs="仿宋"/>
          <w:sz w:val="32"/>
          <w:szCs w:val="32"/>
          <w:lang w:val="en-US" w:eastAsia="zh-CN"/>
        </w:rPr>
        <w:t>保障场馆数不低于13个；开放图书馆天数不低于160天；保障通借通还率不低于95%；有效提高图书免费开放活动内容；经费及时支出；区级图书总分馆制建设试点项目资金指标不高于150万元；有效提高文公文化服务水平；有效持续健全图书馆服务体系；有效丰富群众精神文化生活；群众满意度不低于95%</w:t>
      </w:r>
      <w:r>
        <w:rPr>
          <w:rFonts w:hint="eastAsia" w:ascii="仿宋" w:hAnsi="仿宋" w:eastAsia="仿宋" w:cs="仿宋"/>
          <w:sz w:val="32"/>
          <w:szCs w:val="32"/>
        </w:rPr>
        <w:t>。</w:t>
      </w:r>
    </w:p>
    <w:p w14:paraId="5F5597BD">
      <w:pPr>
        <w:pStyle w:val="26"/>
        <w:spacing w:line="532" w:lineRule="exact"/>
        <w:ind w:firstLine="64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w:t>
      </w:r>
      <w:r>
        <w:rPr>
          <w:rFonts w:ascii="方正黑体简体" w:hAnsi="方正黑体简体" w:eastAsia="方正黑体简体" w:cs="方正黑体简体"/>
          <w:sz w:val="32"/>
          <w:szCs w:val="32"/>
        </w:rPr>
        <w:t>绩效目标完成情况分析</w:t>
      </w:r>
    </w:p>
    <w:p w14:paraId="11A8376C">
      <w:pPr>
        <w:pStyle w:val="26"/>
        <w:spacing w:line="532"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场馆数13个；开放图书馆天数160天；保障通借通还率95%；有效提高图书免费开放活动内容；经费及时支出；区级图书总分馆制建设试点项目资金指标不高于150万元，完成142.18万元，剩余资金为质保金；有效提高文公文化服务水平；有效持续健全图书馆服务体系；有效丰富群众精神文化生活；群众满意度95%。</w:t>
      </w:r>
    </w:p>
    <w:p w14:paraId="4ECD9B88">
      <w:pPr>
        <w:pStyle w:val="26"/>
        <w:spacing w:line="532"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w:t>
      </w:r>
      <w:r>
        <w:rPr>
          <w:rFonts w:ascii="方正楷体简体" w:hAnsi="方正楷体简体" w:eastAsia="方正楷体简体" w:cs="方正楷体简体"/>
          <w:sz w:val="32"/>
          <w:szCs w:val="32"/>
        </w:rPr>
        <w:t>项目资金</w:t>
      </w:r>
      <w:r>
        <w:rPr>
          <w:rFonts w:hint="eastAsia" w:ascii="方正楷体简体" w:hAnsi="方正楷体简体" w:eastAsia="方正楷体简体" w:cs="方正楷体简体"/>
          <w:sz w:val="32"/>
          <w:szCs w:val="32"/>
        </w:rPr>
        <w:t>投入</w:t>
      </w:r>
      <w:r>
        <w:rPr>
          <w:rFonts w:ascii="方正楷体简体" w:hAnsi="方正楷体简体" w:eastAsia="方正楷体简体" w:cs="方正楷体简体"/>
          <w:sz w:val="32"/>
          <w:szCs w:val="32"/>
        </w:rPr>
        <w:t>情况</w:t>
      </w:r>
      <w:r>
        <w:rPr>
          <w:rFonts w:hint="eastAsia" w:ascii="方正楷体简体" w:hAnsi="方正楷体简体" w:eastAsia="方正楷体简体" w:cs="方正楷体简体"/>
          <w:sz w:val="32"/>
          <w:szCs w:val="32"/>
        </w:rPr>
        <w:t>分析</w:t>
      </w:r>
    </w:p>
    <w:p w14:paraId="29FD1A67">
      <w:pPr>
        <w:pStyle w:val="2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年度县级文化图书分馆总分管制度建设项目共下达</w:t>
      </w:r>
      <w:r>
        <w:rPr>
          <w:rFonts w:hint="eastAsia" w:ascii="仿宋" w:hAnsi="仿宋" w:eastAsia="仿宋" w:cs="仿宋"/>
          <w:sz w:val="32"/>
          <w:szCs w:val="32"/>
          <w:lang w:val="en-US" w:eastAsia="zh-CN"/>
        </w:rPr>
        <w:t>资金150</w:t>
      </w:r>
      <w:r>
        <w:rPr>
          <w:rFonts w:hint="eastAsia" w:ascii="仿宋" w:hAnsi="仿宋" w:eastAsia="仿宋" w:cs="仿宋"/>
          <w:sz w:val="32"/>
          <w:szCs w:val="32"/>
        </w:rPr>
        <w:t>万元，兑现</w:t>
      </w:r>
      <w:r>
        <w:rPr>
          <w:rFonts w:hint="eastAsia" w:ascii="仿宋" w:hAnsi="仿宋" w:eastAsia="仿宋" w:cs="仿宋"/>
          <w:sz w:val="32"/>
          <w:szCs w:val="32"/>
          <w:lang w:val="en-US" w:eastAsia="zh-CN"/>
        </w:rPr>
        <w:t>142.18万元</w:t>
      </w:r>
      <w:r>
        <w:rPr>
          <w:rFonts w:hint="eastAsia" w:ascii="仿宋" w:hAnsi="仿宋" w:eastAsia="仿宋" w:cs="仿宋"/>
          <w:sz w:val="32"/>
          <w:szCs w:val="32"/>
        </w:rPr>
        <w:t>，项目资金预算执行率</w:t>
      </w:r>
      <w:r>
        <w:rPr>
          <w:rFonts w:hint="eastAsia" w:ascii="仿宋" w:hAnsi="仿宋" w:eastAsia="仿宋" w:cs="仿宋"/>
          <w:sz w:val="32"/>
          <w:szCs w:val="32"/>
          <w:lang w:val="en-US" w:eastAsia="zh-CN"/>
        </w:rPr>
        <w:t>95</w:t>
      </w:r>
      <w:r>
        <w:rPr>
          <w:rFonts w:hint="eastAsia" w:ascii="仿宋" w:hAnsi="仿宋" w:eastAsia="仿宋" w:cs="仿宋"/>
          <w:sz w:val="32"/>
          <w:szCs w:val="32"/>
        </w:rPr>
        <w:t>%。</w:t>
      </w:r>
      <w:r>
        <w:rPr>
          <w:rFonts w:hint="eastAsia" w:ascii="仿宋" w:hAnsi="仿宋" w:eastAsia="仿宋" w:cs="仿宋"/>
          <w:sz w:val="32"/>
          <w:szCs w:val="32"/>
          <w:lang w:val="en-US" w:eastAsia="zh-CN"/>
        </w:rPr>
        <w:t>2024年9月4日完成</w:t>
      </w:r>
      <w:r>
        <w:rPr>
          <w:rFonts w:hint="eastAsia" w:ascii="仿宋" w:hAnsi="仿宋" w:eastAsia="仿宋" w:cs="仿宋"/>
          <w:sz w:val="32"/>
          <w:szCs w:val="32"/>
        </w:rPr>
        <w:t>县级文化图书分馆总分管制度建设项目</w:t>
      </w:r>
      <w:r>
        <w:rPr>
          <w:rFonts w:hint="eastAsia" w:ascii="仿宋" w:hAnsi="仿宋" w:eastAsia="仿宋" w:cs="仿宋"/>
          <w:sz w:val="32"/>
          <w:szCs w:val="32"/>
          <w:lang w:val="en-US" w:eastAsia="zh-CN"/>
        </w:rPr>
        <w:t>招标，中标价149.66万元。10月至12月进行图书馆总分馆设备采购安装、图书录入、图书归档、借阅培训等工作，</w:t>
      </w:r>
      <w:r>
        <w:rPr>
          <w:rFonts w:hint="eastAsia" w:ascii="Times New Roman" w:hAnsi="Times New Roman" w:eastAsia="方正仿宋简体" w:cs="Times New Roman"/>
          <w:sz w:val="32"/>
          <w:szCs w:val="40"/>
          <w:lang w:val="en-US" w:eastAsia="zh-CN"/>
        </w:rPr>
        <w:t>对城市书房、</w:t>
      </w:r>
      <w:r>
        <w:rPr>
          <w:rFonts w:hint="eastAsia" w:eastAsia="方正仿宋简体" w:cs="Times New Roman"/>
          <w:sz w:val="32"/>
          <w:szCs w:val="40"/>
          <w:lang w:val="en-US" w:eastAsia="zh-CN"/>
        </w:rPr>
        <w:t>乡镇新型公共文化空间、社区书屋示范点进行</w:t>
      </w:r>
      <w:r>
        <w:rPr>
          <w:rFonts w:hint="eastAsia" w:ascii="Times New Roman" w:hAnsi="Times New Roman" w:eastAsia="方正仿宋简体" w:cs="Times New Roman"/>
          <w:sz w:val="32"/>
          <w:szCs w:val="40"/>
          <w:lang w:val="en-US" w:eastAsia="zh-CN"/>
        </w:rPr>
        <w:t>借阅</w:t>
      </w:r>
      <w:r>
        <w:rPr>
          <w:rFonts w:hint="default" w:ascii="Times New Roman" w:hAnsi="Times New Roman" w:eastAsia="方正仿宋简体" w:cs="Times New Roman"/>
          <w:sz w:val="32"/>
          <w:szCs w:val="40"/>
          <w:lang w:val="en-US" w:eastAsia="zh-CN"/>
        </w:rPr>
        <w:t>系统</w:t>
      </w:r>
      <w:r>
        <w:rPr>
          <w:rFonts w:hint="eastAsia" w:ascii="Times New Roman" w:hAnsi="Times New Roman" w:eastAsia="方正仿宋简体" w:cs="Times New Roman"/>
          <w:sz w:val="32"/>
          <w:szCs w:val="40"/>
          <w:lang w:val="en-US" w:eastAsia="zh-CN"/>
        </w:rPr>
        <w:t>、电子阅览、报刊阅览、读书录音等系统和设备</w:t>
      </w:r>
      <w:r>
        <w:rPr>
          <w:rFonts w:hint="default" w:ascii="Times New Roman" w:hAnsi="Times New Roman" w:eastAsia="方正仿宋简体" w:cs="Times New Roman"/>
          <w:sz w:val="32"/>
          <w:szCs w:val="40"/>
          <w:lang w:val="en-US" w:eastAsia="zh-CN"/>
        </w:rPr>
        <w:t>安装</w:t>
      </w:r>
      <w:r>
        <w:rPr>
          <w:rFonts w:hint="eastAsia" w:ascii="Times New Roman" w:hAnsi="Times New Roman" w:eastAsia="方正仿宋简体" w:cs="Times New Roman"/>
          <w:sz w:val="32"/>
          <w:szCs w:val="40"/>
          <w:lang w:val="en-US" w:eastAsia="zh-CN"/>
        </w:rPr>
        <w:t>，</w:t>
      </w:r>
      <w:r>
        <w:rPr>
          <w:rFonts w:hint="eastAsia" w:eastAsia="方正仿宋简体" w:cs="Times New Roman"/>
          <w:sz w:val="32"/>
          <w:szCs w:val="40"/>
          <w:lang w:val="en-US" w:eastAsia="zh-CN"/>
        </w:rPr>
        <w:t>达到借阅条件</w:t>
      </w:r>
      <w:r>
        <w:rPr>
          <w:rFonts w:hint="default" w:ascii="Times New Roman" w:hAnsi="Times New Roman" w:eastAsia="方正仿宋简体" w:cs="Times New Roman"/>
          <w:sz w:val="32"/>
          <w:szCs w:val="40"/>
          <w:lang w:val="en-US" w:eastAsia="zh-CN"/>
        </w:rPr>
        <w:t>。</w:t>
      </w:r>
    </w:p>
    <w:p w14:paraId="1F67C098">
      <w:pPr>
        <w:numPr>
          <w:ilvl w:val="0"/>
          <w:numId w:val="5"/>
        </w:numPr>
        <w:spacing w:line="532" w:lineRule="exact"/>
        <w:ind w:firstLine="320" w:firstLineChars="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项目资金管理情况分析</w:t>
      </w:r>
    </w:p>
    <w:p w14:paraId="419DAEDD">
      <w:pPr>
        <w:spacing w:line="532" w:lineRule="exact"/>
        <w:ind w:firstLine="640" w:firstLineChars="200"/>
        <w:rPr>
          <w:rFonts w:ascii="仿宋" w:hAnsi="仿宋" w:eastAsia="仿宋" w:cs="仿宋"/>
          <w:sz w:val="32"/>
          <w:szCs w:val="32"/>
        </w:rPr>
      </w:pPr>
      <w:r>
        <w:rPr>
          <w:rFonts w:hint="eastAsia" w:ascii="仿宋" w:hAnsi="仿宋" w:eastAsia="仿宋" w:cs="仿宋"/>
          <w:sz w:val="32"/>
          <w:szCs w:val="32"/>
        </w:rPr>
        <w:t>1.分配科学性：严格按照</w:t>
      </w:r>
      <w:r>
        <w:rPr>
          <w:rFonts w:hint="eastAsia" w:ascii="仿宋" w:hAnsi="仿宋" w:eastAsia="仿宋" w:cs="仿宋"/>
          <w:sz w:val="32"/>
          <w:szCs w:val="32"/>
          <w:lang w:val="en-US" w:eastAsia="zh-CN"/>
        </w:rPr>
        <w:t>旅游资源普查合同</w:t>
      </w:r>
      <w:r>
        <w:rPr>
          <w:rFonts w:hint="eastAsia" w:ascii="仿宋" w:hAnsi="仿宋" w:eastAsia="仿宋" w:cs="仿宋"/>
          <w:sz w:val="32"/>
          <w:szCs w:val="32"/>
        </w:rPr>
        <w:t>进行科学分配</w:t>
      </w:r>
    </w:p>
    <w:p w14:paraId="47C7EF58">
      <w:pPr>
        <w:pStyle w:val="26"/>
        <w:spacing w:line="532" w:lineRule="exact"/>
        <w:ind w:left="630" w:firstLine="0" w:firstLineChars="0"/>
        <w:rPr>
          <w:rFonts w:ascii="仿宋" w:hAnsi="仿宋" w:eastAsia="仿宋" w:cs="仿宋"/>
          <w:sz w:val="32"/>
          <w:szCs w:val="32"/>
        </w:rPr>
      </w:pPr>
      <w:r>
        <w:rPr>
          <w:rFonts w:hint="eastAsia" w:ascii="仿宋" w:hAnsi="仿宋" w:eastAsia="仿宋" w:cs="仿宋"/>
          <w:sz w:val="32"/>
          <w:szCs w:val="32"/>
        </w:rPr>
        <w:t>2.下达及时性：按照规定时间及时下达。</w:t>
      </w:r>
    </w:p>
    <w:p w14:paraId="5AAFBCE7">
      <w:pPr>
        <w:pStyle w:val="26"/>
        <w:spacing w:line="532" w:lineRule="exact"/>
        <w:ind w:left="630" w:firstLine="0" w:firstLineChars="0"/>
        <w:rPr>
          <w:rFonts w:ascii="仿宋" w:hAnsi="仿宋" w:eastAsia="仿宋" w:cs="仿宋"/>
          <w:sz w:val="32"/>
          <w:szCs w:val="32"/>
        </w:rPr>
      </w:pPr>
      <w:r>
        <w:rPr>
          <w:rFonts w:hint="eastAsia" w:ascii="仿宋" w:hAnsi="仿宋" w:eastAsia="仿宋" w:cs="仿宋"/>
          <w:sz w:val="32"/>
          <w:szCs w:val="32"/>
        </w:rPr>
        <w:t>3.拨付合规性：按照国库集中支付制度进行合理拨付.</w:t>
      </w:r>
    </w:p>
    <w:p w14:paraId="7ED40ED1">
      <w:pPr>
        <w:pStyle w:val="26"/>
        <w:spacing w:line="532" w:lineRule="exact"/>
        <w:ind w:left="630" w:firstLine="0" w:firstLineChars="0"/>
        <w:rPr>
          <w:rFonts w:ascii="仿宋" w:hAnsi="仿宋" w:eastAsia="仿宋" w:cs="仿宋"/>
          <w:sz w:val="32"/>
          <w:szCs w:val="32"/>
        </w:rPr>
      </w:pPr>
      <w:r>
        <w:rPr>
          <w:rFonts w:hint="eastAsia" w:ascii="仿宋" w:hAnsi="仿宋" w:eastAsia="仿宋" w:cs="仿宋"/>
          <w:sz w:val="32"/>
          <w:szCs w:val="32"/>
        </w:rPr>
        <w:t>4.使用规范性：严格按照下达预算的科目和项目执行，未出现挤占、挪用或擅自调整等问题。</w:t>
      </w:r>
    </w:p>
    <w:p w14:paraId="44586186">
      <w:pPr>
        <w:pStyle w:val="26"/>
        <w:spacing w:line="532" w:lineRule="exact"/>
        <w:ind w:left="630" w:firstLine="0" w:firstLineChars="0"/>
        <w:rPr>
          <w:rFonts w:ascii="仿宋" w:hAnsi="仿宋" w:eastAsia="仿宋" w:cs="仿宋"/>
          <w:sz w:val="32"/>
          <w:szCs w:val="32"/>
        </w:rPr>
      </w:pPr>
      <w:r>
        <w:rPr>
          <w:rFonts w:hint="eastAsia" w:ascii="仿宋" w:hAnsi="仿宋" w:eastAsia="仿宋" w:cs="仿宋"/>
          <w:sz w:val="32"/>
          <w:szCs w:val="32"/>
        </w:rPr>
        <w:t>5.执行准确性：严格按照预算安排的金额执行,不存在执行数偏离预算数较多的问题。</w:t>
      </w:r>
    </w:p>
    <w:p w14:paraId="7E509C0D">
      <w:pPr>
        <w:pStyle w:val="26"/>
        <w:spacing w:line="532" w:lineRule="exact"/>
        <w:ind w:left="630" w:firstLine="0" w:firstLineChars="0"/>
        <w:rPr>
          <w:rFonts w:ascii="仿宋" w:hAnsi="仿宋" w:eastAsia="仿宋" w:cs="仿宋"/>
          <w:sz w:val="32"/>
          <w:szCs w:val="32"/>
        </w:rPr>
      </w:pPr>
      <w:r>
        <w:rPr>
          <w:rFonts w:hint="eastAsia" w:ascii="仿宋" w:hAnsi="仿宋" w:eastAsia="仿宋" w:cs="仿宋"/>
          <w:sz w:val="32"/>
          <w:szCs w:val="32"/>
        </w:rPr>
        <w:t>6.预算绩效管理情况：开展绩效监控和绩效评价。</w:t>
      </w:r>
    </w:p>
    <w:p w14:paraId="17F14D1D">
      <w:pPr>
        <w:pStyle w:val="26"/>
        <w:spacing w:line="532" w:lineRule="exact"/>
        <w:ind w:left="630" w:firstLine="0" w:firstLineChars="0"/>
        <w:rPr>
          <w:rFonts w:ascii="仿宋" w:hAnsi="仿宋" w:eastAsia="仿宋" w:cs="仿宋"/>
          <w:sz w:val="32"/>
          <w:szCs w:val="32"/>
        </w:rPr>
      </w:pPr>
      <w:r>
        <w:rPr>
          <w:rFonts w:hint="eastAsia" w:ascii="仿宋" w:hAnsi="仿宋" w:eastAsia="仿宋" w:cs="仿宋"/>
          <w:sz w:val="32"/>
          <w:szCs w:val="32"/>
        </w:rPr>
        <w:t>7.支出责任履行情况：足额安排支出资金，履行本级支出责任。</w:t>
      </w:r>
    </w:p>
    <w:p w14:paraId="786E5142">
      <w:pPr>
        <w:pStyle w:val="26"/>
        <w:numPr>
          <w:ilvl w:val="0"/>
          <w:numId w:val="6"/>
        </w:numPr>
        <w:spacing w:line="532" w:lineRule="exact"/>
        <w:ind w:firstLine="640" w:firstLineChars="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总体绩效目标完成情况分析</w:t>
      </w:r>
    </w:p>
    <w:p w14:paraId="40BB51E0">
      <w:pPr>
        <w:pStyle w:val="26"/>
        <w:spacing w:line="532"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场馆数13个；开放图书馆天数160天；保障通借通还率95%；有效提高图书免费开放活动内容；经费及时支出；区级图书总分馆制建设试点项目资金指标不高于150万元，完成142.18万元，剩余资金为质保金；有效提高文公文化服务水平；有效持续健全图书馆服务体系；有效丰富群众精神文化生活；群众满意度95%。</w:t>
      </w:r>
    </w:p>
    <w:p w14:paraId="441FE15B">
      <w:pPr>
        <w:pStyle w:val="9"/>
        <w:numPr>
          <w:ilvl w:val="0"/>
          <w:numId w:val="7"/>
        </w:numPr>
        <w:spacing w:line="576" w:lineRule="exact"/>
        <w:ind w:left="0" w:leftChars="0" w:firstLine="640"/>
        <w:rPr>
          <w:rFonts w:ascii="Times New Roman" w:hAnsi="Times New Roman" w:eastAsia="方正楷体简体"/>
          <w:sz w:val="32"/>
          <w:szCs w:val="32"/>
        </w:rPr>
      </w:pPr>
      <w:r>
        <w:rPr>
          <w:rFonts w:ascii="Times New Roman" w:hAnsi="Times New Roman" w:eastAsia="方正楷体简体"/>
          <w:sz w:val="32"/>
          <w:szCs w:val="32"/>
        </w:rPr>
        <w:t>绩效指标完成情况分析</w:t>
      </w:r>
    </w:p>
    <w:p w14:paraId="2246B49B">
      <w:pPr>
        <w:pStyle w:val="26"/>
        <w:spacing w:line="532" w:lineRule="exact"/>
        <w:ind w:firstLine="640"/>
        <w:rPr>
          <w:rFonts w:ascii="宋体" w:hAnsi="宋体" w:eastAsia="宋体" w:cs="Times New Roman"/>
          <w:sz w:val="32"/>
          <w:szCs w:val="32"/>
        </w:rPr>
      </w:pPr>
      <w:r>
        <w:rPr>
          <w:rFonts w:hint="eastAsia" w:ascii="宋体" w:hAnsi="宋体" w:eastAsia="宋体" w:cs="Times New Roman"/>
          <w:sz w:val="32"/>
          <w:szCs w:val="32"/>
        </w:rPr>
        <w:t>1.产出指标</w:t>
      </w:r>
    </w:p>
    <w:p w14:paraId="2AE58D19">
      <w:pPr>
        <w:pStyle w:val="26"/>
        <w:spacing w:line="532" w:lineRule="exact"/>
        <w:ind w:firstLine="640"/>
        <w:rPr>
          <w:rFonts w:hint="eastAsia" w:ascii="仿宋" w:hAnsi="仿宋" w:eastAsia="仿宋" w:cs="仿宋"/>
          <w:sz w:val="32"/>
          <w:szCs w:val="32"/>
          <w:lang w:val="en-US" w:eastAsia="zh-CN"/>
        </w:rPr>
      </w:pPr>
      <w:r>
        <w:rPr>
          <w:rFonts w:hint="eastAsia" w:ascii="宋体" w:hAnsi="宋体" w:eastAsia="宋体" w:cs="Times New Roman"/>
          <w:sz w:val="32"/>
          <w:szCs w:val="32"/>
        </w:rPr>
        <w:t>（1）数量指标：</w:t>
      </w:r>
      <w:r>
        <w:rPr>
          <w:rFonts w:hint="eastAsia" w:ascii="仿宋" w:hAnsi="仿宋" w:eastAsia="仿宋" w:cs="仿宋"/>
          <w:sz w:val="32"/>
          <w:szCs w:val="32"/>
          <w:lang w:val="en-US" w:eastAsia="zh-CN"/>
        </w:rPr>
        <w:t>保障场馆数13个；开放图书馆天数160天。</w:t>
      </w:r>
    </w:p>
    <w:p w14:paraId="47A57A05">
      <w:pPr>
        <w:pStyle w:val="26"/>
        <w:spacing w:line="532" w:lineRule="exact"/>
        <w:ind w:firstLine="640"/>
        <w:rPr>
          <w:rFonts w:ascii="宋体" w:hAnsi="宋体" w:eastAsia="宋体" w:cs="仿宋"/>
          <w:sz w:val="32"/>
          <w:szCs w:val="32"/>
        </w:rPr>
      </w:pPr>
      <w:r>
        <w:rPr>
          <w:rFonts w:hint="eastAsia" w:ascii="宋体" w:hAnsi="宋体" w:eastAsia="宋体" w:cs="Times New Roman"/>
          <w:sz w:val="32"/>
          <w:szCs w:val="32"/>
        </w:rPr>
        <w:t>（2）质量指标：</w:t>
      </w:r>
      <w:r>
        <w:rPr>
          <w:rFonts w:hint="eastAsia" w:ascii="仿宋" w:hAnsi="仿宋" w:eastAsia="仿宋" w:cs="仿宋"/>
          <w:sz w:val="32"/>
          <w:szCs w:val="32"/>
          <w:lang w:val="en-US" w:eastAsia="zh-CN"/>
        </w:rPr>
        <w:t>保障通借通还率95%；有效提高图书免费开放活动内容；经费及时支出。</w:t>
      </w:r>
    </w:p>
    <w:p w14:paraId="7AADE43D">
      <w:pPr>
        <w:pStyle w:val="26"/>
        <w:spacing w:line="532" w:lineRule="exact"/>
        <w:ind w:firstLine="640"/>
        <w:rPr>
          <w:rFonts w:ascii="宋体" w:hAnsi="宋体" w:eastAsia="宋体" w:cs="Times New Roman"/>
          <w:sz w:val="32"/>
          <w:szCs w:val="32"/>
        </w:rPr>
      </w:pPr>
      <w:r>
        <w:rPr>
          <w:rFonts w:hint="eastAsia" w:ascii="宋体" w:hAnsi="宋体" w:eastAsia="宋体" w:cs="Times New Roman"/>
          <w:sz w:val="32"/>
          <w:szCs w:val="32"/>
        </w:rPr>
        <w:t>（3）成本指标：</w:t>
      </w:r>
      <w:r>
        <w:rPr>
          <w:rFonts w:hint="eastAsia" w:ascii="仿宋" w:hAnsi="仿宋" w:eastAsia="仿宋" w:cs="仿宋"/>
          <w:sz w:val="32"/>
          <w:szCs w:val="32"/>
          <w:lang w:val="en-US" w:eastAsia="zh-CN"/>
        </w:rPr>
        <w:t>区级图书总分馆制建设试点项目资金指标不高于150万元，完成142.18万元，剩余资金为质保金。</w:t>
      </w:r>
    </w:p>
    <w:p w14:paraId="58436F9A">
      <w:pPr>
        <w:pStyle w:val="26"/>
        <w:numPr>
          <w:ilvl w:val="0"/>
          <w:numId w:val="8"/>
        </w:numPr>
        <w:spacing w:line="532" w:lineRule="exact"/>
        <w:ind w:firstLine="640"/>
        <w:rPr>
          <w:rFonts w:ascii="宋体" w:hAnsi="宋体" w:eastAsia="宋体" w:cs="仿宋"/>
          <w:sz w:val="32"/>
          <w:szCs w:val="32"/>
        </w:rPr>
      </w:pPr>
      <w:r>
        <w:rPr>
          <w:rFonts w:hint="eastAsia" w:ascii="宋体" w:hAnsi="宋体" w:eastAsia="宋体" w:cs="Times New Roman"/>
          <w:sz w:val="32"/>
          <w:szCs w:val="32"/>
        </w:rPr>
        <w:t>效益指标</w:t>
      </w:r>
    </w:p>
    <w:p w14:paraId="27AFEC67">
      <w:pPr>
        <w:pStyle w:val="26"/>
        <w:spacing w:line="532"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社会效益指标：有效提高文公文化服务水平；有效持续健全图书馆服务体系。</w:t>
      </w:r>
    </w:p>
    <w:p w14:paraId="052C02C1">
      <w:pPr>
        <w:pStyle w:val="26"/>
        <w:spacing w:line="532"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可持续影响指标：有效丰富群众精神文化生活。</w:t>
      </w:r>
    </w:p>
    <w:p w14:paraId="49897F10">
      <w:pPr>
        <w:pStyle w:val="26"/>
        <w:spacing w:line="532" w:lineRule="exact"/>
        <w:ind w:firstLine="640"/>
        <w:rPr>
          <w:rFonts w:ascii="宋体" w:hAnsi="宋体" w:eastAsia="宋体" w:cs="Times New Roman"/>
          <w:sz w:val="32"/>
          <w:szCs w:val="32"/>
        </w:rPr>
      </w:pPr>
      <w:r>
        <w:rPr>
          <w:rFonts w:hint="eastAsia" w:ascii="宋体" w:hAnsi="宋体" w:eastAsia="宋体" w:cs="Times New Roman"/>
          <w:sz w:val="32"/>
          <w:szCs w:val="32"/>
        </w:rPr>
        <w:t>3.满意度指标</w:t>
      </w:r>
    </w:p>
    <w:p w14:paraId="196E86DF">
      <w:pPr>
        <w:pStyle w:val="26"/>
        <w:spacing w:line="532" w:lineRule="exact"/>
        <w:ind w:firstLine="640"/>
        <w:rPr>
          <w:rFonts w:ascii="宋体" w:hAnsi="宋体" w:eastAsia="宋体" w:cs="仿宋"/>
          <w:sz w:val="32"/>
          <w:szCs w:val="32"/>
        </w:rPr>
      </w:pPr>
      <w:r>
        <w:rPr>
          <w:rFonts w:hint="eastAsia" w:ascii="宋体" w:hAnsi="宋体" w:eastAsia="宋体" w:cs="仿宋"/>
          <w:sz w:val="32"/>
          <w:szCs w:val="32"/>
        </w:rPr>
        <w:t>群众满意度</w:t>
      </w:r>
      <w:r>
        <w:rPr>
          <w:rFonts w:hint="eastAsia" w:ascii="宋体" w:hAnsi="宋体" w:eastAsia="宋体" w:cs="仿宋"/>
          <w:sz w:val="32"/>
          <w:szCs w:val="32"/>
          <w:lang w:val="en-US" w:eastAsia="zh-CN"/>
        </w:rPr>
        <w:t>95</w:t>
      </w:r>
      <w:r>
        <w:rPr>
          <w:rFonts w:hint="eastAsia" w:ascii="宋体" w:hAnsi="宋体" w:eastAsia="宋体" w:cs="仿宋"/>
          <w:sz w:val="32"/>
          <w:szCs w:val="32"/>
        </w:rPr>
        <w:t>%。</w:t>
      </w:r>
    </w:p>
    <w:p w14:paraId="620D9375">
      <w:pPr>
        <w:pStyle w:val="26"/>
        <w:numPr>
          <w:ilvl w:val="0"/>
          <w:numId w:val="9"/>
        </w:numPr>
        <w:spacing w:line="532" w:lineRule="exact"/>
        <w:ind w:firstLine="64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偏离绩效目标的原因和下一步改进措施</w:t>
      </w:r>
    </w:p>
    <w:p w14:paraId="684A5434">
      <w:pPr>
        <w:pStyle w:val="26"/>
        <w:spacing w:line="532" w:lineRule="exact"/>
        <w:ind w:firstLine="640"/>
        <w:rPr>
          <w:rFonts w:ascii="Times New Roman" w:hAnsi="Times New Roman" w:eastAsia="方正仿宋简体" w:cs="Times New Roman"/>
          <w:sz w:val="32"/>
          <w:szCs w:val="32"/>
        </w:rPr>
      </w:pPr>
      <w:r>
        <w:rPr>
          <w:rFonts w:hint="eastAsia" w:ascii="仿宋" w:hAnsi="仿宋" w:eastAsia="仿宋" w:cs="仿宋"/>
          <w:sz w:val="32"/>
          <w:szCs w:val="32"/>
          <w:lang w:val="en-US" w:eastAsia="zh-CN"/>
        </w:rPr>
        <w:t>成本指标由于质保金未到期未支付完成，其他</w:t>
      </w:r>
      <w:r>
        <w:rPr>
          <w:rFonts w:hint="eastAsia" w:ascii="仿宋" w:hAnsi="仿宋" w:eastAsia="仿宋" w:cs="仿宋"/>
          <w:sz w:val="32"/>
          <w:szCs w:val="32"/>
        </w:rPr>
        <w:t>绩效目标均已完成，无偏离。我局将</w:t>
      </w:r>
      <w:r>
        <w:rPr>
          <w:rFonts w:hint="eastAsia" w:ascii="仿宋" w:hAnsi="仿宋" w:eastAsia="仿宋" w:cs="仿宋"/>
          <w:sz w:val="32"/>
          <w:szCs w:val="32"/>
          <w:lang w:val="en-US" w:eastAsia="zh-CN"/>
        </w:rPr>
        <w:t>持续跟进设备使用情况，质保维修完成后及时拨付相关资金，同时</w:t>
      </w:r>
      <w:r>
        <w:rPr>
          <w:rFonts w:hint="eastAsia" w:ascii="仿宋" w:hAnsi="仿宋" w:eastAsia="仿宋" w:cs="仿宋"/>
          <w:sz w:val="32"/>
          <w:szCs w:val="32"/>
        </w:rPr>
        <w:t>继续强化资金的使用和管理，不挤占、不占用，监督各类项目按时完工。</w:t>
      </w:r>
    </w:p>
    <w:p w14:paraId="6521DAFF">
      <w:pPr>
        <w:pStyle w:val="26"/>
        <w:numPr>
          <w:ilvl w:val="0"/>
          <w:numId w:val="9"/>
        </w:numPr>
        <w:spacing w:line="532" w:lineRule="exact"/>
        <w:ind w:firstLine="640"/>
        <w:rPr>
          <w:rFonts w:ascii="方正黑体简体" w:hAnsi="方正黑体简体" w:eastAsia="方正黑体简体" w:cs="方正黑体简体"/>
          <w:sz w:val="32"/>
          <w:szCs w:val="32"/>
        </w:rPr>
      </w:pPr>
      <w:r>
        <w:rPr>
          <w:rFonts w:ascii="方正黑体简体" w:hAnsi="方正黑体简体" w:eastAsia="方正黑体简体" w:cs="方正黑体简体"/>
          <w:sz w:val="32"/>
          <w:szCs w:val="32"/>
        </w:rPr>
        <w:t>绩效自评结果拟应用和公开情况</w:t>
      </w:r>
    </w:p>
    <w:p w14:paraId="6CEA9BAB">
      <w:pPr>
        <w:pStyle w:val="26"/>
        <w:spacing w:line="532" w:lineRule="exact"/>
        <w:ind w:firstLine="640"/>
        <w:rPr>
          <w:rFonts w:ascii="仿宋" w:hAnsi="仿宋" w:eastAsia="仿宋" w:cs="仿宋"/>
          <w:sz w:val="32"/>
          <w:szCs w:val="32"/>
        </w:rPr>
      </w:pPr>
      <w:r>
        <w:rPr>
          <w:rFonts w:hint="eastAsia" w:ascii="仿宋" w:hAnsi="仿宋" w:eastAsia="仿宋" w:cs="仿宋"/>
          <w:sz w:val="32"/>
          <w:szCs w:val="32"/>
        </w:rPr>
        <w:t>我局高度重视绩效评价结果的应用工作，按时对县级文化图书分馆总分管制度建设项目</w:t>
      </w:r>
      <w:r>
        <w:rPr>
          <w:rFonts w:hint="eastAsia" w:ascii="仿宋" w:hAnsi="仿宋" w:eastAsia="仿宋" w:cs="仿宋"/>
          <w:sz w:val="32"/>
          <w:szCs w:val="32"/>
          <w:lang w:val="en-US" w:eastAsia="zh-CN"/>
        </w:rPr>
        <w:t>资金</w:t>
      </w:r>
      <w:r>
        <w:rPr>
          <w:rFonts w:hint="eastAsia" w:ascii="仿宋" w:hAnsi="仿宋" w:eastAsia="仿宋" w:cs="仿宋"/>
          <w:sz w:val="32"/>
          <w:szCs w:val="32"/>
        </w:rPr>
        <w:t>的绩效目标自评报告在公示公开栏进行公开，广泛接受社会监督。</w:t>
      </w:r>
    </w:p>
    <w:p w14:paraId="75DA461C">
      <w:pPr>
        <w:pStyle w:val="26"/>
        <w:numPr>
          <w:ilvl w:val="0"/>
          <w:numId w:val="9"/>
        </w:numPr>
        <w:spacing w:line="532" w:lineRule="exact"/>
        <w:ind w:firstLine="64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其他需要说明的问题</w:t>
      </w:r>
    </w:p>
    <w:p w14:paraId="4DA88987">
      <w:pPr>
        <w:pStyle w:val="26"/>
        <w:spacing w:line="532" w:lineRule="exact"/>
        <w:ind w:left="780" w:firstLine="0" w:firstLineChars="0"/>
        <w:rPr>
          <w:rFonts w:ascii="Times New Roman" w:hAnsi="Times New Roman" w:eastAsia="方正仿宋简体" w:cs="Times New Roman"/>
          <w:sz w:val="32"/>
          <w:szCs w:val="32"/>
        </w:rPr>
      </w:pPr>
      <w:r>
        <w:rPr>
          <w:rFonts w:hint="eastAsia" w:ascii="仿宋" w:hAnsi="仿宋" w:eastAsia="仿宋" w:cs="仿宋"/>
          <w:sz w:val="32"/>
          <w:szCs w:val="32"/>
        </w:rPr>
        <w:t>无。</w:t>
      </w:r>
    </w:p>
    <w:p w14:paraId="63D09CF7">
      <w:pPr>
        <w:pStyle w:val="26"/>
        <w:spacing w:line="532" w:lineRule="exact"/>
        <w:ind w:left="780" w:firstLine="2560" w:firstLineChars="800"/>
        <w:rPr>
          <w:rFonts w:hint="eastAsia" w:ascii="Times New Roman" w:hAnsi="Times New Roman" w:eastAsia="方正仿宋简体" w:cs="Times New Roman"/>
          <w:sz w:val="32"/>
          <w:szCs w:val="32"/>
        </w:rPr>
      </w:pPr>
    </w:p>
    <w:p w14:paraId="73B9CC5C">
      <w:pPr>
        <w:pStyle w:val="26"/>
        <w:spacing w:line="532" w:lineRule="exact"/>
        <w:ind w:left="780" w:firstLine="2560" w:firstLineChars="800"/>
        <w:rPr>
          <w:rFonts w:hint="eastAsia" w:ascii="Times New Roman" w:hAnsi="Times New Roman" w:eastAsia="方正仿宋简体" w:cs="Times New Roman"/>
          <w:sz w:val="32"/>
          <w:szCs w:val="32"/>
        </w:rPr>
      </w:pPr>
    </w:p>
    <w:p w14:paraId="13547B06">
      <w:pPr>
        <w:pStyle w:val="26"/>
        <w:spacing w:line="532" w:lineRule="exact"/>
        <w:ind w:left="780" w:firstLine="2560" w:firstLineChars="800"/>
        <w:rPr>
          <w:rFonts w:hint="eastAsia" w:ascii="Times New Roman" w:hAnsi="Times New Roman" w:eastAsia="方正仿宋简体" w:cs="Times New Roman"/>
          <w:sz w:val="32"/>
          <w:szCs w:val="32"/>
        </w:rPr>
      </w:pPr>
    </w:p>
    <w:p w14:paraId="60BA8C7F">
      <w:pPr>
        <w:pStyle w:val="26"/>
        <w:spacing w:line="532" w:lineRule="exact"/>
        <w:ind w:left="780" w:firstLine="2560" w:firstLineChars="800"/>
        <w:rPr>
          <w:rFonts w:hint="eastAsia" w:ascii="Times New Roman" w:hAnsi="Times New Roman" w:eastAsia="方正仿宋简体" w:cs="Times New Roman"/>
          <w:sz w:val="32"/>
          <w:szCs w:val="32"/>
        </w:rPr>
      </w:pPr>
    </w:p>
    <w:p w14:paraId="02DB4791">
      <w:pPr>
        <w:pStyle w:val="26"/>
        <w:spacing w:line="532" w:lineRule="exact"/>
        <w:ind w:left="780" w:firstLine="2560" w:firstLineChars="800"/>
        <w:rPr>
          <w:rFonts w:hint="eastAsia" w:ascii="Times New Roman" w:hAnsi="Times New Roman" w:eastAsia="方正仿宋简体" w:cs="Times New Roman"/>
          <w:sz w:val="32"/>
          <w:szCs w:val="32"/>
        </w:rPr>
      </w:pPr>
    </w:p>
    <w:p w14:paraId="66B0D130">
      <w:pPr>
        <w:pStyle w:val="26"/>
        <w:spacing w:line="532" w:lineRule="exact"/>
        <w:ind w:left="780" w:firstLine="2560" w:firstLineChars="800"/>
        <w:rPr>
          <w:rFonts w:hint="eastAsia" w:ascii="Times New Roman" w:hAnsi="Times New Roman" w:eastAsia="方正仿宋简体" w:cs="Times New Roman"/>
          <w:sz w:val="32"/>
          <w:szCs w:val="32"/>
        </w:rPr>
      </w:pPr>
    </w:p>
    <w:p w14:paraId="1098E1D9">
      <w:pPr>
        <w:pStyle w:val="26"/>
        <w:spacing w:line="532" w:lineRule="exact"/>
        <w:ind w:left="780" w:firstLine="2560" w:firstLineChars="800"/>
        <w:rPr>
          <w:rFonts w:hint="eastAsia" w:ascii="Times New Roman" w:hAnsi="Times New Roman" w:eastAsia="方正仿宋简体" w:cs="Times New Roman"/>
          <w:sz w:val="32"/>
          <w:szCs w:val="32"/>
        </w:rPr>
      </w:pPr>
    </w:p>
    <w:p w14:paraId="18FE972A">
      <w:pPr>
        <w:pStyle w:val="26"/>
        <w:spacing w:line="532" w:lineRule="exact"/>
        <w:ind w:left="780" w:firstLine="2560" w:firstLineChars="800"/>
        <w:rPr>
          <w:rFonts w:hint="eastAsia" w:ascii="Times New Roman" w:hAnsi="Times New Roman" w:eastAsia="方正仿宋简体" w:cs="Times New Roman"/>
          <w:sz w:val="32"/>
          <w:szCs w:val="32"/>
        </w:rPr>
      </w:pPr>
    </w:p>
    <w:p w14:paraId="2CFA92F1">
      <w:pPr>
        <w:pStyle w:val="26"/>
        <w:spacing w:line="532" w:lineRule="exact"/>
        <w:ind w:left="780" w:firstLine="2560" w:firstLineChars="800"/>
        <w:rPr>
          <w:rFonts w:hint="eastAsia" w:ascii="Times New Roman" w:hAnsi="Times New Roman" w:eastAsia="方正仿宋简体" w:cs="Times New Roman"/>
          <w:sz w:val="32"/>
          <w:szCs w:val="32"/>
        </w:rPr>
      </w:pPr>
    </w:p>
    <w:p w14:paraId="08186E8A">
      <w:pPr>
        <w:pStyle w:val="26"/>
        <w:spacing w:line="532" w:lineRule="exact"/>
        <w:ind w:left="780"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那曲市色尼区</w:t>
      </w:r>
      <w:r>
        <w:rPr>
          <w:rFonts w:hint="eastAsia" w:ascii="Times New Roman" w:hAnsi="Times New Roman" w:eastAsia="方正仿宋简体" w:cs="Times New Roman"/>
          <w:sz w:val="32"/>
          <w:szCs w:val="32"/>
          <w:lang w:val="en-US" w:eastAsia="zh-CN"/>
        </w:rPr>
        <w:t>文化和旅游</w:t>
      </w:r>
      <w:r>
        <w:rPr>
          <w:rFonts w:hint="eastAsia" w:ascii="Times New Roman" w:hAnsi="Times New Roman" w:eastAsia="方正仿宋简体" w:cs="Times New Roman"/>
          <w:sz w:val="32"/>
          <w:szCs w:val="32"/>
        </w:rPr>
        <w:t>局</w:t>
      </w:r>
    </w:p>
    <w:p w14:paraId="7F42A65C">
      <w:pPr>
        <w:pStyle w:val="26"/>
        <w:spacing w:line="532" w:lineRule="exact"/>
        <w:ind w:firstLine="4480" w:firstLineChars="140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10</w:t>
      </w:r>
      <w:r>
        <w:rPr>
          <w:rFonts w:hint="eastAsia"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20</w:t>
      </w:r>
      <w:r>
        <w:rPr>
          <w:rFonts w:hint="eastAsia" w:ascii="Times New Roman" w:hAnsi="Times New Roman" w:eastAsia="方正仿宋简体" w:cs="Times New Roman"/>
          <w:sz w:val="32"/>
          <w:szCs w:val="32"/>
        </w:rPr>
        <w:t>日</w:t>
      </w:r>
    </w:p>
    <w:p w14:paraId="52C1748A">
      <w:pPr>
        <w:pStyle w:val="26"/>
        <w:spacing w:line="532" w:lineRule="exact"/>
        <w:ind w:firstLine="4480" w:firstLineChars="1400"/>
        <w:rPr>
          <w:rFonts w:hint="eastAsia" w:ascii="Times New Roman" w:hAnsi="Times New Roman" w:eastAsia="方正仿宋简体" w:cs="Times New Roman"/>
          <w:sz w:val="32"/>
          <w:szCs w:val="32"/>
        </w:rPr>
      </w:pPr>
    </w:p>
    <w:p w14:paraId="49EDB780">
      <w:pPr>
        <w:pStyle w:val="26"/>
        <w:spacing w:line="532" w:lineRule="exact"/>
        <w:ind w:firstLine="4480" w:firstLineChars="1400"/>
        <w:rPr>
          <w:rFonts w:hint="eastAsia" w:ascii="Times New Roman" w:hAnsi="Times New Roman" w:eastAsia="方正仿宋简体" w:cs="Times New Roman"/>
          <w:sz w:val="32"/>
          <w:szCs w:val="32"/>
        </w:rPr>
      </w:pPr>
    </w:p>
    <w:p w14:paraId="022E47FD">
      <w:pPr>
        <w:pStyle w:val="26"/>
        <w:spacing w:line="532" w:lineRule="exact"/>
        <w:ind w:firstLine="4480" w:firstLineChars="1400"/>
        <w:rPr>
          <w:rFonts w:hint="eastAsia" w:ascii="Times New Roman" w:hAnsi="Times New Roman" w:eastAsia="方正仿宋简体" w:cs="Times New Roman"/>
          <w:sz w:val="32"/>
          <w:szCs w:val="32"/>
        </w:rPr>
      </w:pPr>
    </w:p>
    <w:p w14:paraId="16DC0130">
      <w:pPr>
        <w:pStyle w:val="26"/>
        <w:spacing w:line="532" w:lineRule="exact"/>
        <w:ind w:firstLine="4480" w:firstLineChars="1400"/>
        <w:rPr>
          <w:rFonts w:hint="eastAsia" w:ascii="Times New Roman" w:hAnsi="Times New Roman" w:eastAsia="方正仿宋简体" w:cs="Times New Roman"/>
          <w:sz w:val="32"/>
          <w:szCs w:val="32"/>
        </w:rPr>
      </w:pPr>
    </w:p>
    <w:p w14:paraId="03B1809F">
      <w:pPr>
        <w:pStyle w:val="26"/>
        <w:spacing w:line="532" w:lineRule="exact"/>
        <w:ind w:firstLine="4480" w:firstLineChars="1400"/>
        <w:rPr>
          <w:rFonts w:hint="eastAsia" w:ascii="Times New Roman" w:hAnsi="Times New Roman" w:eastAsia="方正仿宋简体" w:cs="Times New Roman"/>
          <w:sz w:val="32"/>
          <w:szCs w:val="32"/>
        </w:rPr>
      </w:pPr>
    </w:p>
    <w:p w14:paraId="5E185417">
      <w:pPr>
        <w:pStyle w:val="26"/>
        <w:spacing w:line="532" w:lineRule="exact"/>
        <w:ind w:left="0" w:leftChars="0" w:firstLine="0" w:firstLineChars="0"/>
        <w:rPr>
          <w:rFonts w:hint="eastAsia" w:ascii="Times New Roman" w:hAnsi="Times New Roman" w:eastAsia="方正仿宋简体" w:cs="Times New Roman"/>
          <w:sz w:val="32"/>
          <w:szCs w:val="32"/>
        </w:rPr>
      </w:pPr>
    </w:p>
    <w:p w14:paraId="70EA51EF">
      <w:pPr>
        <w:pStyle w:val="26"/>
        <w:spacing w:line="532" w:lineRule="exact"/>
        <w:ind w:firstLine="4480" w:firstLineChars="1400"/>
        <w:rPr>
          <w:rFonts w:hint="eastAsia" w:ascii="Times New Roman" w:hAnsi="Times New Roman" w:eastAsia="方正仿宋简体" w:cs="Times New Roman"/>
          <w:sz w:val="32"/>
          <w:szCs w:val="32"/>
        </w:rPr>
      </w:pPr>
    </w:p>
    <w:p w14:paraId="025EBDD3">
      <w:pPr>
        <w:spacing w:line="532" w:lineRule="exact"/>
        <w:jc w:val="left"/>
        <w:rPr>
          <w:rFonts w:hint="default" w:eastAsia="方正小标宋简体" w:cs="Times New Roman"/>
          <w:sz w:val="44"/>
          <w:szCs w:val="44"/>
          <w:lang w:val="en-US" w:eastAsia="zh-CN"/>
        </w:rPr>
      </w:pPr>
      <w:r>
        <w:rPr>
          <w:rFonts w:hint="eastAsia" w:eastAsia="方正小标宋简体" w:cs="Times New Roman"/>
          <w:sz w:val="44"/>
          <w:szCs w:val="44"/>
          <w:lang w:eastAsia="zh-CN"/>
        </w:rPr>
        <w:t>附件</w:t>
      </w:r>
      <w:r>
        <w:rPr>
          <w:rFonts w:hint="eastAsia" w:eastAsia="方正小标宋简体" w:cs="Times New Roman"/>
          <w:sz w:val="44"/>
          <w:szCs w:val="44"/>
          <w:lang w:val="en-US" w:eastAsia="zh-CN"/>
        </w:rPr>
        <w:t>2</w:t>
      </w:r>
    </w:p>
    <w:p w14:paraId="508845CE">
      <w:pPr>
        <w:pStyle w:val="26"/>
        <w:spacing w:line="532" w:lineRule="exact"/>
        <w:ind w:firstLine="4480" w:firstLineChars="1400"/>
        <w:rPr>
          <w:rFonts w:hint="eastAsia" w:ascii="Times New Roman" w:hAnsi="Times New Roman" w:eastAsia="方正仿宋简体" w:cs="Times New Roman"/>
          <w:sz w:val="32"/>
          <w:szCs w:val="32"/>
        </w:rPr>
      </w:pPr>
    </w:p>
    <w:tbl>
      <w:tblPr>
        <w:tblStyle w:val="10"/>
        <w:tblW w:w="137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240"/>
        <w:gridCol w:w="1864"/>
        <w:gridCol w:w="3776"/>
        <w:gridCol w:w="1040"/>
        <w:gridCol w:w="864"/>
        <w:gridCol w:w="1016"/>
        <w:gridCol w:w="1040"/>
        <w:gridCol w:w="776"/>
        <w:gridCol w:w="1224"/>
      </w:tblGrid>
      <w:tr w14:paraId="6F3E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776" w:type="dxa"/>
            <w:gridSpan w:val="10"/>
            <w:tcBorders>
              <w:top w:val="nil"/>
              <w:left w:val="nil"/>
              <w:bottom w:val="nil"/>
              <w:right w:val="nil"/>
            </w:tcBorders>
            <w:shd w:val="clear" w:color="auto" w:fill="FFFFFF"/>
            <w:vAlign w:val="center"/>
          </w:tcPr>
          <w:p w14:paraId="7D5EF7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那曲市色尼区文旅局中央转移支付县级文化图书馆总分馆制度建设项目绩效目标表</w:t>
            </w:r>
            <w:r>
              <w:rPr>
                <w:rStyle w:val="30"/>
                <w:lang w:val="en-US" w:eastAsia="zh-CN" w:bidi="ar"/>
              </w:rPr>
              <w:br w:type="textWrapping"/>
            </w:r>
            <w:r>
              <w:rPr>
                <w:rFonts w:hint="eastAsia" w:ascii="MingLiU" w:hAnsi="MingLiU" w:eastAsia="MingLiU" w:cs="MingLiU"/>
                <w:i w:val="0"/>
                <w:iCs w:val="0"/>
                <w:color w:val="000000"/>
                <w:kern w:val="0"/>
                <w:sz w:val="20"/>
                <w:szCs w:val="20"/>
                <w:u w:val="none"/>
                <w:lang w:val="en-US" w:eastAsia="zh-CN" w:bidi="ar"/>
              </w:rPr>
              <w:t>(2024</w:t>
            </w:r>
            <w:r>
              <w:rPr>
                <w:rStyle w:val="31"/>
                <w:lang w:val="en-US" w:eastAsia="zh-CN" w:bidi="ar"/>
              </w:rPr>
              <w:t>年度）</w:t>
            </w:r>
          </w:p>
        </w:tc>
      </w:tr>
      <w:tr w14:paraId="2B54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16" w:type="dxa"/>
            <w:gridSpan w:val="4"/>
            <w:tcBorders>
              <w:top w:val="nil"/>
              <w:left w:val="nil"/>
              <w:bottom w:val="single" w:color="000000" w:sz="4" w:space="0"/>
              <w:right w:val="nil"/>
            </w:tcBorders>
            <w:shd w:val="clear" w:color="auto" w:fill="FFFFFF"/>
            <w:vAlign w:val="center"/>
          </w:tcPr>
          <w:p w14:paraId="620D7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填报日期：2023年12月25日</w:t>
            </w:r>
          </w:p>
        </w:tc>
        <w:tc>
          <w:tcPr>
            <w:tcW w:w="1040" w:type="dxa"/>
            <w:tcBorders>
              <w:top w:val="nil"/>
              <w:left w:val="nil"/>
              <w:bottom w:val="single" w:color="000000" w:sz="4" w:space="0"/>
              <w:right w:val="nil"/>
            </w:tcBorders>
            <w:shd w:val="clear" w:color="auto" w:fill="FFFFFF"/>
            <w:vAlign w:val="center"/>
          </w:tcPr>
          <w:p w14:paraId="3903AD7F">
            <w:pPr>
              <w:jc w:val="center"/>
              <w:rPr>
                <w:rFonts w:hint="eastAsia" w:ascii="MingLiU" w:hAnsi="MingLiU" w:eastAsia="MingLiU" w:cs="MingLiU"/>
                <w:i w:val="0"/>
                <w:iCs w:val="0"/>
                <w:color w:val="000000"/>
                <w:sz w:val="28"/>
                <w:szCs w:val="28"/>
                <w:u w:val="none"/>
              </w:rPr>
            </w:pPr>
          </w:p>
        </w:tc>
        <w:tc>
          <w:tcPr>
            <w:tcW w:w="4920" w:type="dxa"/>
            <w:gridSpan w:val="5"/>
            <w:tcBorders>
              <w:top w:val="nil"/>
              <w:left w:val="nil"/>
              <w:bottom w:val="single" w:color="000000" w:sz="4" w:space="0"/>
              <w:right w:val="nil"/>
            </w:tcBorders>
            <w:shd w:val="clear" w:color="auto" w:fill="FFFFFF"/>
            <w:vAlign w:val="center"/>
          </w:tcPr>
          <w:p w14:paraId="7A2C6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填报人及联系电话：片多 18108961300</w:t>
            </w:r>
          </w:p>
        </w:tc>
      </w:tr>
      <w:tr w14:paraId="477A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AA9700">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项目名称</w:t>
            </w:r>
          </w:p>
        </w:tc>
        <w:tc>
          <w:tcPr>
            <w:tcW w:w="973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E62B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县级文化图书分馆总分管制度建设项目</w:t>
            </w:r>
          </w:p>
        </w:tc>
      </w:tr>
      <w:tr w14:paraId="2A62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3F27BFF">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主管部门及代码</w:t>
            </w:r>
          </w:p>
        </w:tc>
        <w:tc>
          <w:tcPr>
            <w:tcW w:w="48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2AE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那曲市色尼区文旅局snq01100101</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A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C4F9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那曲市色尼区文化和旅游局</w:t>
            </w:r>
          </w:p>
        </w:tc>
      </w:tr>
      <w:tr w14:paraId="1B59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6BB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项目属性</w:t>
            </w:r>
          </w:p>
        </w:tc>
        <w:tc>
          <w:tcPr>
            <w:tcW w:w="48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933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新建项目</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54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项目期</w:t>
            </w: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C7974F2">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1</w:t>
            </w:r>
            <w:r>
              <w:rPr>
                <w:rStyle w:val="32"/>
                <w:lang w:val="en-US" w:eastAsia="zh-CN" w:bidi="ar"/>
              </w:rPr>
              <w:t>年</w:t>
            </w:r>
          </w:p>
        </w:tc>
      </w:tr>
      <w:tr w14:paraId="22F5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D3ADB4">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项目资金 (万元)</w:t>
            </w:r>
          </w:p>
        </w:tc>
        <w:tc>
          <w:tcPr>
            <w:tcW w:w="3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AA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59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447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7248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6367E">
            <w:pPr>
              <w:jc w:val="center"/>
              <w:rPr>
                <w:rFonts w:hint="eastAsia" w:ascii="MingLiU" w:hAnsi="MingLiU" w:eastAsia="MingLiU" w:cs="MingLiU"/>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DB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9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B2F9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26EB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ED8F6C">
            <w:pPr>
              <w:jc w:val="center"/>
              <w:rPr>
                <w:rFonts w:hint="eastAsia" w:ascii="MingLiU" w:hAnsi="MingLiU" w:eastAsia="MingLiU" w:cs="MingLiU"/>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F7B0">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 xml:space="preserve"> 其</w:t>
            </w:r>
            <w:r>
              <w:rPr>
                <w:rStyle w:val="33"/>
                <w:lang w:val="en-US" w:eastAsia="zh-CN" w:bidi="ar"/>
              </w:rPr>
              <w:t>他资金</w:t>
            </w:r>
          </w:p>
        </w:tc>
        <w:tc>
          <w:tcPr>
            <w:tcW w:w="59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648F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26A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4D36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预算执行率权重（%）</w:t>
            </w:r>
          </w:p>
        </w:tc>
        <w:tc>
          <w:tcPr>
            <w:tcW w:w="59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3E6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143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099B214">
            <w:pPr>
              <w:keepNext w:val="0"/>
              <w:keepLines w:val="0"/>
              <w:widowControl/>
              <w:suppressLineNumbers w:val="0"/>
              <w:jc w:val="center"/>
              <w:textAlignment w:val="center"/>
              <w:rPr>
                <w:rFonts w:hint="eastAsia" w:ascii="MingLiU" w:hAnsi="MingLiU" w:eastAsia="MingLiU" w:cs="MingLiU"/>
                <w:i w:val="0"/>
                <w:iCs w:val="0"/>
                <w:color w:val="000000"/>
                <w:sz w:val="20"/>
                <w:szCs w:val="20"/>
                <w:u w:val="none"/>
              </w:rPr>
            </w:pPr>
            <w:r>
              <w:rPr>
                <w:rFonts w:hint="eastAsia" w:ascii="MingLiU" w:hAnsi="MingLiU" w:eastAsia="MingLiU" w:cs="MingLiU"/>
                <w:i w:val="0"/>
                <w:iCs w:val="0"/>
                <w:color w:val="000000"/>
                <w:kern w:val="0"/>
                <w:sz w:val="20"/>
                <w:szCs w:val="20"/>
                <w:u w:val="none"/>
                <w:lang w:val="en-US" w:eastAsia="zh-CN" w:bidi="ar"/>
              </w:rPr>
              <w:t>年度总</w:t>
            </w:r>
            <w:r>
              <w:rPr>
                <w:rStyle w:val="34"/>
                <w:lang w:val="en-US" w:eastAsia="zh-CN" w:bidi="ar"/>
              </w:rPr>
              <w:t>体目标</w:t>
            </w:r>
          </w:p>
        </w:tc>
        <w:tc>
          <w:tcPr>
            <w:tcW w:w="12840"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0D8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实现图书资源共建共享及通借通还，从而提升公共文化服务及搭配软硬件管理，提高分馆借还服务体系，丰富群众文化生活。</w:t>
            </w:r>
          </w:p>
        </w:tc>
      </w:tr>
      <w:tr w14:paraId="4211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CDF22B8">
            <w:pPr>
              <w:jc w:val="center"/>
              <w:rPr>
                <w:rFonts w:hint="eastAsia" w:ascii="MingLiU" w:hAnsi="MingLiU" w:eastAsia="MingLiU" w:cs="MingLiU"/>
                <w:i w:val="0"/>
                <w:iCs w:val="0"/>
                <w:color w:val="000000"/>
                <w:sz w:val="20"/>
                <w:szCs w:val="20"/>
                <w:u w:val="none"/>
              </w:rPr>
            </w:pPr>
          </w:p>
        </w:tc>
        <w:tc>
          <w:tcPr>
            <w:tcW w:w="12840"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1E20E">
            <w:pPr>
              <w:jc w:val="left"/>
              <w:rPr>
                <w:rFonts w:hint="eastAsia" w:ascii="宋体" w:hAnsi="宋体" w:eastAsia="宋体" w:cs="宋体"/>
                <w:i w:val="0"/>
                <w:iCs w:val="0"/>
                <w:color w:val="000000"/>
                <w:sz w:val="20"/>
                <w:szCs w:val="20"/>
                <w:u w:val="none"/>
              </w:rPr>
            </w:pPr>
          </w:p>
        </w:tc>
      </w:tr>
      <w:tr w14:paraId="6F5A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7BDFFF3">
            <w:pPr>
              <w:keepNext w:val="0"/>
              <w:keepLines w:val="0"/>
              <w:widowControl/>
              <w:suppressLineNumbers w:val="0"/>
              <w:jc w:val="center"/>
              <w:textAlignment w:val="center"/>
              <w:rPr>
                <w:rFonts w:hint="eastAsia" w:ascii="MingLiU" w:hAnsi="MingLiU" w:eastAsia="MingLiU" w:cs="MingLiU"/>
                <w:i w:val="0"/>
                <w:iCs w:val="0"/>
                <w:color w:val="000000"/>
                <w:sz w:val="20"/>
                <w:szCs w:val="20"/>
                <w:u w:val="none"/>
              </w:rPr>
            </w:pPr>
            <w:r>
              <w:rPr>
                <w:rFonts w:hint="eastAsia" w:ascii="MingLiU" w:hAnsi="MingLiU" w:eastAsia="MingLiU" w:cs="MingLiU"/>
                <w:i w:val="0"/>
                <w:iCs w:val="0"/>
                <w:color w:val="000000"/>
                <w:kern w:val="0"/>
                <w:sz w:val="20"/>
                <w:szCs w:val="20"/>
                <w:u w:val="none"/>
                <w:lang w:val="en-US" w:eastAsia="zh-CN" w:bidi="ar"/>
              </w:rPr>
              <w:t>绩效指标</w:t>
            </w:r>
          </w:p>
        </w:tc>
        <w:tc>
          <w:tcPr>
            <w:tcW w:w="1240" w:type="dxa"/>
            <w:tcBorders>
              <w:top w:val="single" w:color="000000" w:sz="4" w:space="0"/>
              <w:left w:val="nil"/>
              <w:bottom w:val="single" w:color="000000" w:sz="4" w:space="0"/>
              <w:right w:val="single" w:color="000000" w:sz="4" w:space="0"/>
            </w:tcBorders>
            <w:shd w:val="clear" w:color="auto" w:fill="FFFFFF"/>
            <w:vAlign w:val="center"/>
          </w:tcPr>
          <w:p w14:paraId="12BC5064">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一级指标</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43179">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二级指标</w:t>
            </w:r>
          </w:p>
        </w:tc>
        <w:tc>
          <w:tcPr>
            <w:tcW w:w="3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29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76F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12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BB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A5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1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指标方向性</w:t>
            </w:r>
          </w:p>
        </w:tc>
      </w:tr>
      <w:tr w14:paraId="783E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7F81433">
            <w:pPr>
              <w:jc w:val="center"/>
              <w:rPr>
                <w:rFonts w:hint="eastAsia" w:ascii="MingLiU" w:hAnsi="MingLiU" w:eastAsia="MingLiU" w:cs="MingLiU"/>
                <w:i w:val="0"/>
                <w:iCs w:val="0"/>
                <w:color w:val="000000"/>
                <w:sz w:val="20"/>
                <w:szCs w:val="20"/>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04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0A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保障场馆数</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A2C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03AF">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2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6E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00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515D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1F0E4F2">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66ED0">
            <w:pPr>
              <w:jc w:val="center"/>
              <w:rPr>
                <w:rFonts w:hint="eastAsia" w:ascii="宋体" w:hAnsi="宋体" w:eastAsia="宋体" w:cs="宋体"/>
                <w:i w:val="0"/>
                <w:iCs w:val="0"/>
                <w:color w:val="000000"/>
                <w:sz w:val="18"/>
                <w:szCs w:val="18"/>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294B">
            <w:pPr>
              <w:jc w:val="center"/>
              <w:rPr>
                <w:rFonts w:hint="eastAsia" w:ascii="宋体" w:hAnsi="宋体" w:eastAsia="宋体" w:cs="宋体"/>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开放图书馆天数</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332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A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09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36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24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19FE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E34A68B">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7054">
            <w:pPr>
              <w:jc w:val="center"/>
              <w:rPr>
                <w:rFonts w:hint="eastAsia" w:ascii="宋体" w:hAnsi="宋体" w:eastAsia="宋体" w:cs="宋体"/>
                <w:i w:val="0"/>
                <w:iCs w:val="0"/>
                <w:color w:val="000000"/>
                <w:sz w:val="18"/>
                <w:szCs w:val="18"/>
                <w:u w:val="none"/>
              </w:rPr>
            </w:pP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A9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2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保障通借通还率</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9C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CA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1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70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34D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4F15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BB0E0C2">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252B">
            <w:pPr>
              <w:jc w:val="center"/>
              <w:rPr>
                <w:rFonts w:hint="eastAsia" w:ascii="宋体" w:hAnsi="宋体" w:eastAsia="宋体" w:cs="宋体"/>
                <w:i w:val="0"/>
                <w:iCs w:val="0"/>
                <w:color w:val="000000"/>
                <w:sz w:val="18"/>
                <w:szCs w:val="18"/>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9CD8">
            <w:pPr>
              <w:jc w:val="center"/>
              <w:rPr>
                <w:rFonts w:hint="eastAsia" w:ascii="宋体" w:hAnsi="宋体" w:eastAsia="宋体" w:cs="宋体"/>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E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丰富图书免费开放活动内容</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D41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A5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05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501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A32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182C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F9457FD">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8489">
            <w:pPr>
              <w:jc w:val="center"/>
              <w:rPr>
                <w:rFonts w:hint="eastAsia" w:ascii="宋体" w:hAnsi="宋体" w:eastAsia="宋体" w:cs="宋体"/>
                <w:i w:val="0"/>
                <w:iCs w:val="0"/>
                <w:color w:val="000000"/>
                <w:sz w:val="18"/>
                <w:szCs w:val="18"/>
                <w:u w:val="none"/>
              </w:rPr>
            </w:pPr>
          </w:p>
        </w:tc>
        <w:tc>
          <w:tcPr>
            <w:tcW w:w="1864" w:type="dxa"/>
            <w:tcBorders>
              <w:top w:val="nil"/>
              <w:left w:val="single" w:color="000000" w:sz="4" w:space="0"/>
              <w:bottom w:val="single" w:color="000000" w:sz="4" w:space="0"/>
              <w:right w:val="single" w:color="000000" w:sz="4" w:space="0"/>
            </w:tcBorders>
            <w:shd w:val="clear" w:color="auto" w:fill="auto"/>
            <w:vAlign w:val="center"/>
          </w:tcPr>
          <w:p w14:paraId="32D83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E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经费支出及时性</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0AA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B5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及时</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964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491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432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3AED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A45BB6E">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8F7A3">
            <w:pPr>
              <w:jc w:val="center"/>
              <w:rPr>
                <w:rFonts w:hint="eastAsia" w:ascii="宋体" w:hAnsi="宋体" w:eastAsia="宋体" w:cs="宋体"/>
                <w:i w:val="0"/>
                <w:iCs w:val="0"/>
                <w:color w:val="000000"/>
                <w:sz w:val="18"/>
                <w:szCs w:val="18"/>
                <w:u w:val="none"/>
              </w:rPr>
            </w:pPr>
          </w:p>
        </w:tc>
        <w:tc>
          <w:tcPr>
            <w:tcW w:w="1864" w:type="dxa"/>
            <w:tcBorders>
              <w:top w:val="nil"/>
              <w:left w:val="single" w:color="000000" w:sz="4" w:space="0"/>
              <w:bottom w:val="single" w:color="000000" w:sz="4" w:space="0"/>
              <w:right w:val="single" w:color="000000" w:sz="4" w:space="0"/>
            </w:tcBorders>
            <w:shd w:val="clear" w:color="auto" w:fill="auto"/>
            <w:vAlign w:val="center"/>
          </w:tcPr>
          <w:p w14:paraId="11566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区级图书总分馆制建设试点项目资金指标（万元）</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60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FE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313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D9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0D8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反向指标</w:t>
            </w:r>
          </w:p>
        </w:tc>
      </w:tr>
      <w:tr w14:paraId="581C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99E1F46">
            <w:pPr>
              <w:jc w:val="center"/>
              <w:rPr>
                <w:rFonts w:hint="eastAsia" w:ascii="MingLiU" w:hAnsi="MingLiU" w:eastAsia="MingLiU" w:cs="MingLiU"/>
                <w:i w:val="0"/>
                <w:iCs w:val="0"/>
                <w:color w:val="000000"/>
                <w:sz w:val="20"/>
                <w:szCs w:val="20"/>
                <w:u w:val="none"/>
              </w:rPr>
            </w:pPr>
          </w:p>
        </w:tc>
        <w:tc>
          <w:tcPr>
            <w:tcW w:w="1240" w:type="dxa"/>
            <w:vMerge w:val="restart"/>
            <w:tcBorders>
              <w:top w:val="nil"/>
              <w:left w:val="single" w:color="000000" w:sz="4" w:space="0"/>
              <w:bottom w:val="single" w:color="000000" w:sz="4" w:space="0"/>
              <w:right w:val="single" w:color="000000" w:sz="4" w:space="0"/>
            </w:tcBorders>
            <w:shd w:val="clear" w:color="auto" w:fill="auto"/>
            <w:vAlign w:val="center"/>
          </w:tcPr>
          <w:p w14:paraId="21D56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864" w:type="dxa"/>
            <w:vMerge w:val="restart"/>
            <w:tcBorders>
              <w:top w:val="nil"/>
              <w:left w:val="single" w:color="000000" w:sz="4" w:space="0"/>
              <w:bottom w:val="single" w:color="000000" w:sz="4" w:space="0"/>
              <w:right w:val="single" w:color="000000" w:sz="4" w:space="0"/>
            </w:tcBorders>
            <w:shd w:val="clear" w:color="auto" w:fill="auto"/>
            <w:vAlign w:val="center"/>
          </w:tcPr>
          <w:p w14:paraId="52394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F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提高公共文化服务水平</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EC8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32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40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05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174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2A49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ADAA173">
            <w:pPr>
              <w:jc w:val="center"/>
              <w:rPr>
                <w:rFonts w:hint="eastAsia" w:ascii="MingLiU" w:hAnsi="MingLiU" w:eastAsia="MingLiU" w:cs="MingLiU"/>
                <w:i w:val="0"/>
                <w:iCs w:val="0"/>
                <w:color w:val="000000"/>
                <w:sz w:val="20"/>
                <w:szCs w:val="20"/>
                <w:u w:val="none"/>
              </w:rPr>
            </w:pPr>
          </w:p>
        </w:tc>
        <w:tc>
          <w:tcPr>
            <w:tcW w:w="1240" w:type="dxa"/>
            <w:vMerge w:val="continue"/>
            <w:tcBorders>
              <w:top w:val="nil"/>
              <w:left w:val="single" w:color="000000" w:sz="4" w:space="0"/>
              <w:bottom w:val="single" w:color="000000" w:sz="4" w:space="0"/>
              <w:right w:val="single" w:color="000000" w:sz="4" w:space="0"/>
            </w:tcBorders>
            <w:shd w:val="clear" w:color="auto" w:fill="auto"/>
            <w:vAlign w:val="center"/>
          </w:tcPr>
          <w:p w14:paraId="108F7A95">
            <w:pPr>
              <w:jc w:val="center"/>
              <w:rPr>
                <w:rFonts w:hint="eastAsia" w:ascii="宋体" w:hAnsi="宋体" w:eastAsia="宋体" w:cs="宋体"/>
                <w:i w:val="0"/>
                <w:iCs w:val="0"/>
                <w:color w:val="000000"/>
                <w:sz w:val="18"/>
                <w:szCs w:val="18"/>
                <w:u w:val="none"/>
              </w:rPr>
            </w:pPr>
          </w:p>
        </w:tc>
        <w:tc>
          <w:tcPr>
            <w:tcW w:w="1864" w:type="dxa"/>
            <w:vMerge w:val="continue"/>
            <w:tcBorders>
              <w:top w:val="nil"/>
              <w:left w:val="single" w:color="000000" w:sz="4" w:space="0"/>
              <w:bottom w:val="single" w:color="000000" w:sz="4" w:space="0"/>
              <w:right w:val="single" w:color="000000" w:sz="4" w:space="0"/>
            </w:tcBorders>
            <w:shd w:val="clear" w:color="auto" w:fill="auto"/>
            <w:vAlign w:val="center"/>
          </w:tcPr>
          <w:p w14:paraId="1AFCDC68">
            <w:pPr>
              <w:jc w:val="center"/>
              <w:rPr>
                <w:rFonts w:hint="eastAsia" w:ascii="宋体" w:hAnsi="宋体" w:eastAsia="宋体" w:cs="宋体"/>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B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持续健全完善图书馆服务体系</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1B3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31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2C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8D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92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005E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149CB0D">
            <w:pPr>
              <w:jc w:val="center"/>
              <w:rPr>
                <w:rFonts w:hint="eastAsia" w:ascii="MingLiU" w:hAnsi="MingLiU" w:eastAsia="MingLiU" w:cs="MingLiU"/>
                <w:i w:val="0"/>
                <w:iCs w:val="0"/>
                <w:color w:val="000000"/>
                <w:sz w:val="20"/>
                <w:szCs w:val="20"/>
                <w:u w:val="none"/>
              </w:rPr>
            </w:pPr>
          </w:p>
        </w:tc>
        <w:tc>
          <w:tcPr>
            <w:tcW w:w="1240" w:type="dxa"/>
            <w:vMerge w:val="continue"/>
            <w:tcBorders>
              <w:top w:val="nil"/>
              <w:left w:val="single" w:color="000000" w:sz="4" w:space="0"/>
              <w:bottom w:val="single" w:color="000000" w:sz="4" w:space="0"/>
              <w:right w:val="single" w:color="000000" w:sz="4" w:space="0"/>
            </w:tcBorders>
            <w:shd w:val="clear" w:color="auto" w:fill="auto"/>
            <w:vAlign w:val="center"/>
          </w:tcPr>
          <w:p w14:paraId="4FCE8EE5">
            <w:pPr>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D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丰富群众精神文化生活</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B3F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A76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9C8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D5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60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26C6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9B2188F">
            <w:pPr>
              <w:jc w:val="center"/>
              <w:rPr>
                <w:rFonts w:hint="eastAsia" w:ascii="MingLiU" w:hAnsi="MingLiU" w:eastAsia="MingLiU" w:cs="MingLiU"/>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3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F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8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D29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E4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7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78B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B3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6F64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76" w:type="dxa"/>
            <w:gridSpan w:val="10"/>
            <w:tcBorders>
              <w:top w:val="nil"/>
              <w:left w:val="nil"/>
              <w:bottom w:val="nil"/>
              <w:right w:val="nil"/>
            </w:tcBorders>
            <w:shd w:val="clear" w:color="auto" w:fill="FFFFFF"/>
            <w:vAlign w:val="center"/>
          </w:tcPr>
          <w:p w14:paraId="20C367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那曲市色尼区文旅局中央转移支付县级文化图书馆总分馆制度建设项目绩效目标表</w:t>
            </w:r>
            <w:r>
              <w:rPr>
                <w:rFonts w:ascii="MingLiU" w:hAnsi="MingLiU" w:eastAsia="MingLiU" w:cs="MingLiU"/>
                <w:i w:val="0"/>
                <w:iCs w:val="0"/>
                <w:color w:val="000000"/>
                <w:kern w:val="0"/>
                <w:sz w:val="28"/>
                <w:szCs w:val="28"/>
                <w:u w:val="none"/>
                <w:lang w:val="en-US" w:eastAsia="zh-CN" w:bidi="ar"/>
              </w:rPr>
              <w:br w:type="textWrapping"/>
            </w:r>
            <w:r>
              <w:rPr>
                <w:rFonts w:hint="eastAsia" w:ascii="MingLiU" w:hAnsi="MingLiU" w:eastAsia="MingLiU" w:cs="MingLiU"/>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年度）</w:t>
            </w:r>
          </w:p>
        </w:tc>
      </w:tr>
      <w:tr w14:paraId="1604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16" w:type="dxa"/>
            <w:gridSpan w:val="4"/>
            <w:tcBorders>
              <w:top w:val="nil"/>
              <w:left w:val="nil"/>
              <w:bottom w:val="single" w:color="000000" w:sz="4" w:space="0"/>
              <w:right w:val="nil"/>
            </w:tcBorders>
            <w:shd w:val="clear" w:color="auto" w:fill="FFFFFF"/>
            <w:vAlign w:val="center"/>
          </w:tcPr>
          <w:p w14:paraId="0D8E9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填报日期：2023年12月25日</w:t>
            </w:r>
          </w:p>
        </w:tc>
        <w:tc>
          <w:tcPr>
            <w:tcW w:w="1040" w:type="dxa"/>
            <w:tcBorders>
              <w:top w:val="nil"/>
              <w:left w:val="nil"/>
              <w:bottom w:val="single" w:color="000000" w:sz="4" w:space="0"/>
              <w:right w:val="nil"/>
            </w:tcBorders>
            <w:shd w:val="clear" w:color="auto" w:fill="FFFFFF"/>
            <w:vAlign w:val="center"/>
          </w:tcPr>
          <w:p w14:paraId="31BCB48F">
            <w:pPr>
              <w:jc w:val="center"/>
              <w:rPr>
                <w:rFonts w:hint="eastAsia" w:ascii="MingLiU" w:hAnsi="MingLiU" w:eastAsia="MingLiU" w:cs="MingLiU"/>
                <w:i w:val="0"/>
                <w:iCs w:val="0"/>
                <w:color w:val="000000"/>
                <w:sz w:val="28"/>
                <w:szCs w:val="28"/>
                <w:u w:val="none"/>
              </w:rPr>
            </w:pPr>
          </w:p>
        </w:tc>
        <w:tc>
          <w:tcPr>
            <w:tcW w:w="4920" w:type="dxa"/>
            <w:gridSpan w:val="5"/>
            <w:tcBorders>
              <w:top w:val="nil"/>
              <w:left w:val="nil"/>
              <w:bottom w:val="single" w:color="000000" w:sz="4" w:space="0"/>
              <w:right w:val="nil"/>
            </w:tcBorders>
            <w:shd w:val="clear" w:color="auto" w:fill="FFFFFF"/>
            <w:vAlign w:val="center"/>
          </w:tcPr>
          <w:p w14:paraId="64768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填报人及联系电话：片多 18108961300</w:t>
            </w:r>
          </w:p>
        </w:tc>
      </w:tr>
      <w:tr w14:paraId="0D28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237775">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项目名称</w:t>
            </w:r>
          </w:p>
        </w:tc>
        <w:tc>
          <w:tcPr>
            <w:tcW w:w="973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C16C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县级文化图书分馆总分管制度建设项目</w:t>
            </w:r>
          </w:p>
        </w:tc>
      </w:tr>
      <w:tr w14:paraId="3FA7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7B3B9C8">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主管部门及代码</w:t>
            </w:r>
          </w:p>
        </w:tc>
        <w:tc>
          <w:tcPr>
            <w:tcW w:w="48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19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那曲市色尼区文旅局snq01100101</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42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C98B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那曲市色尼区文化和旅游局</w:t>
            </w:r>
          </w:p>
        </w:tc>
      </w:tr>
      <w:tr w14:paraId="5A00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3D6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项目属性</w:t>
            </w:r>
          </w:p>
        </w:tc>
        <w:tc>
          <w:tcPr>
            <w:tcW w:w="48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7F0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新建项目</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4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项目期</w:t>
            </w: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CD6A16C">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年</w:t>
            </w:r>
          </w:p>
        </w:tc>
      </w:tr>
      <w:tr w14:paraId="570B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156610">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项目资金 (万元)</w:t>
            </w:r>
          </w:p>
        </w:tc>
        <w:tc>
          <w:tcPr>
            <w:tcW w:w="3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B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59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07A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6C59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E0E06">
            <w:pPr>
              <w:jc w:val="center"/>
              <w:rPr>
                <w:rFonts w:hint="eastAsia" w:ascii="MingLiU" w:hAnsi="MingLiU" w:eastAsia="MingLiU" w:cs="MingLiU"/>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7F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9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60F6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2F5D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3FBF87">
            <w:pPr>
              <w:jc w:val="center"/>
              <w:rPr>
                <w:rFonts w:hint="eastAsia" w:ascii="MingLiU" w:hAnsi="MingLiU" w:eastAsia="MingLiU" w:cs="MingLiU"/>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B10BC">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 xml:space="preserve"> 其</w:t>
            </w:r>
            <w:r>
              <w:rPr>
                <w:rFonts w:hint="eastAsia" w:ascii="宋体" w:hAnsi="宋体" w:eastAsia="宋体" w:cs="宋体"/>
                <w:i w:val="0"/>
                <w:iCs w:val="0"/>
                <w:color w:val="000000"/>
                <w:kern w:val="0"/>
                <w:sz w:val="18"/>
                <w:szCs w:val="18"/>
                <w:u w:val="none"/>
                <w:lang w:val="en-US" w:eastAsia="zh-CN" w:bidi="ar"/>
              </w:rPr>
              <w:t>他资金</w:t>
            </w:r>
          </w:p>
        </w:tc>
        <w:tc>
          <w:tcPr>
            <w:tcW w:w="59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E7EA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1DD3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950D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预算执行率权重（%）</w:t>
            </w:r>
          </w:p>
        </w:tc>
        <w:tc>
          <w:tcPr>
            <w:tcW w:w="59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B966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687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3369EC1">
            <w:pPr>
              <w:keepNext w:val="0"/>
              <w:keepLines w:val="0"/>
              <w:widowControl/>
              <w:suppressLineNumbers w:val="0"/>
              <w:jc w:val="center"/>
              <w:textAlignment w:val="center"/>
              <w:rPr>
                <w:rFonts w:hint="eastAsia" w:ascii="MingLiU" w:hAnsi="MingLiU" w:eastAsia="MingLiU" w:cs="MingLiU"/>
                <w:i w:val="0"/>
                <w:iCs w:val="0"/>
                <w:color w:val="000000"/>
                <w:sz w:val="20"/>
                <w:szCs w:val="20"/>
                <w:u w:val="none"/>
              </w:rPr>
            </w:pPr>
            <w:r>
              <w:rPr>
                <w:rFonts w:hint="eastAsia" w:ascii="MingLiU" w:hAnsi="MingLiU" w:eastAsia="MingLiU" w:cs="MingLiU"/>
                <w:i w:val="0"/>
                <w:iCs w:val="0"/>
                <w:color w:val="000000"/>
                <w:kern w:val="0"/>
                <w:sz w:val="20"/>
                <w:szCs w:val="20"/>
                <w:u w:val="none"/>
                <w:lang w:val="en-US" w:eastAsia="zh-CN" w:bidi="ar"/>
              </w:rPr>
              <w:t>年度总</w:t>
            </w:r>
            <w:r>
              <w:rPr>
                <w:rFonts w:hint="eastAsia" w:ascii="宋体" w:hAnsi="宋体" w:eastAsia="宋体" w:cs="宋体"/>
                <w:i w:val="0"/>
                <w:iCs w:val="0"/>
                <w:color w:val="000000"/>
                <w:kern w:val="0"/>
                <w:sz w:val="20"/>
                <w:szCs w:val="20"/>
                <w:u w:val="none"/>
                <w:lang w:val="en-US" w:eastAsia="zh-CN" w:bidi="ar"/>
              </w:rPr>
              <w:t>体目标</w:t>
            </w:r>
          </w:p>
        </w:tc>
        <w:tc>
          <w:tcPr>
            <w:tcW w:w="12840"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5C3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实现图书资源共建共享及通借通还，从而提升公共文化服务及搭配软硬件管理，提高分馆借还服务体系，丰富群众文化生活。</w:t>
            </w:r>
          </w:p>
        </w:tc>
      </w:tr>
      <w:tr w14:paraId="3510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954FE9B">
            <w:pPr>
              <w:jc w:val="center"/>
              <w:rPr>
                <w:rFonts w:hint="eastAsia" w:ascii="MingLiU" w:hAnsi="MingLiU" w:eastAsia="MingLiU" w:cs="MingLiU"/>
                <w:i w:val="0"/>
                <w:iCs w:val="0"/>
                <w:color w:val="000000"/>
                <w:sz w:val="20"/>
                <w:szCs w:val="20"/>
                <w:u w:val="none"/>
              </w:rPr>
            </w:pPr>
          </w:p>
        </w:tc>
        <w:tc>
          <w:tcPr>
            <w:tcW w:w="12840"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82B6D">
            <w:pPr>
              <w:jc w:val="left"/>
              <w:rPr>
                <w:rFonts w:hint="eastAsia" w:ascii="宋体" w:hAnsi="宋体" w:eastAsia="宋体" w:cs="宋体"/>
                <w:i w:val="0"/>
                <w:iCs w:val="0"/>
                <w:color w:val="000000"/>
                <w:sz w:val="20"/>
                <w:szCs w:val="20"/>
                <w:u w:val="none"/>
              </w:rPr>
            </w:pPr>
          </w:p>
        </w:tc>
      </w:tr>
      <w:tr w14:paraId="5992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7306D13">
            <w:pPr>
              <w:keepNext w:val="0"/>
              <w:keepLines w:val="0"/>
              <w:widowControl/>
              <w:suppressLineNumbers w:val="0"/>
              <w:jc w:val="center"/>
              <w:textAlignment w:val="center"/>
              <w:rPr>
                <w:rFonts w:hint="eastAsia" w:ascii="MingLiU" w:hAnsi="MingLiU" w:eastAsia="MingLiU" w:cs="MingLiU"/>
                <w:i w:val="0"/>
                <w:iCs w:val="0"/>
                <w:color w:val="000000"/>
                <w:sz w:val="20"/>
                <w:szCs w:val="20"/>
                <w:u w:val="none"/>
              </w:rPr>
            </w:pPr>
            <w:r>
              <w:rPr>
                <w:rFonts w:hint="eastAsia" w:ascii="MingLiU" w:hAnsi="MingLiU" w:eastAsia="MingLiU" w:cs="MingLiU"/>
                <w:i w:val="0"/>
                <w:iCs w:val="0"/>
                <w:color w:val="000000"/>
                <w:kern w:val="0"/>
                <w:sz w:val="20"/>
                <w:szCs w:val="20"/>
                <w:u w:val="none"/>
                <w:lang w:val="en-US" w:eastAsia="zh-CN" w:bidi="ar"/>
              </w:rPr>
              <w:t>绩效指标</w:t>
            </w:r>
          </w:p>
        </w:tc>
        <w:tc>
          <w:tcPr>
            <w:tcW w:w="1240" w:type="dxa"/>
            <w:tcBorders>
              <w:top w:val="single" w:color="000000" w:sz="4" w:space="0"/>
              <w:left w:val="nil"/>
              <w:bottom w:val="single" w:color="000000" w:sz="4" w:space="0"/>
              <w:right w:val="single" w:color="000000" w:sz="4" w:space="0"/>
            </w:tcBorders>
            <w:shd w:val="clear" w:color="auto" w:fill="FFFFFF"/>
            <w:vAlign w:val="center"/>
          </w:tcPr>
          <w:p w14:paraId="01D0E59D">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一级指标</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54C8B">
            <w:pPr>
              <w:keepNext w:val="0"/>
              <w:keepLines w:val="0"/>
              <w:widowControl/>
              <w:suppressLineNumbers w:val="0"/>
              <w:jc w:val="center"/>
              <w:textAlignment w:val="center"/>
              <w:rPr>
                <w:rFonts w:hint="eastAsia" w:ascii="MingLiU" w:hAnsi="MingLiU" w:eastAsia="MingLiU" w:cs="MingLiU"/>
                <w:i w:val="0"/>
                <w:iCs w:val="0"/>
                <w:color w:val="000000"/>
                <w:sz w:val="18"/>
                <w:szCs w:val="18"/>
                <w:u w:val="none"/>
              </w:rPr>
            </w:pPr>
            <w:r>
              <w:rPr>
                <w:rFonts w:hint="eastAsia" w:ascii="MingLiU" w:hAnsi="MingLiU" w:eastAsia="MingLiU" w:cs="MingLiU"/>
                <w:i w:val="0"/>
                <w:iCs w:val="0"/>
                <w:color w:val="000000"/>
                <w:kern w:val="0"/>
                <w:sz w:val="18"/>
                <w:szCs w:val="18"/>
                <w:u w:val="none"/>
                <w:lang w:val="en-US" w:eastAsia="zh-CN" w:bidi="ar"/>
              </w:rPr>
              <w:t>二级指标</w:t>
            </w:r>
          </w:p>
        </w:tc>
        <w:tc>
          <w:tcPr>
            <w:tcW w:w="3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2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273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2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B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14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指标方向性</w:t>
            </w:r>
          </w:p>
        </w:tc>
      </w:tr>
      <w:tr w14:paraId="6151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D8AF45E">
            <w:pPr>
              <w:jc w:val="center"/>
              <w:rPr>
                <w:rFonts w:hint="eastAsia" w:ascii="MingLiU" w:hAnsi="MingLiU" w:eastAsia="MingLiU" w:cs="MingLiU"/>
                <w:i w:val="0"/>
                <w:iCs w:val="0"/>
                <w:color w:val="000000"/>
                <w:sz w:val="20"/>
                <w:szCs w:val="20"/>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A0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11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保障场馆数</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26E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E236">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7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94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9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5019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C422648">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8FF8">
            <w:pPr>
              <w:jc w:val="center"/>
              <w:rPr>
                <w:rFonts w:hint="eastAsia" w:ascii="宋体" w:hAnsi="宋体" w:eastAsia="宋体" w:cs="宋体"/>
                <w:i w:val="0"/>
                <w:iCs w:val="0"/>
                <w:color w:val="000000"/>
                <w:sz w:val="18"/>
                <w:szCs w:val="18"/>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E92E">
            <w:pPr>
              <w:jc w:val="center"/>
              <w:rPr>
                <w:rFonts w:hint="eastAsia" w:ascii="宋体" w:hAnsi="宋体" w:eastAsia="宋体" w:cs="宋体"/>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7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开放图书馆天数</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B13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DE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45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7FF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01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009E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C3B3919">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9593">
            <w:pPr>
              <w:jc w:val="center"/>
              <w:rPr>
                <w:rFonts w:hint="eastAsia" w:ascii="宋体" w:hAnsi="宋体" w:eastAsia="宋体" w:cs="宋体"/>
                <w:i w:val="0"/>
                <w:iCs w:val="0"/>
                <w:color w:val="000000"/>
                <w:sz w:val="18"/>
                <w:szCs w:val="18"/>
                <w:u w:val="none"/>
              </w:rPr>
            </w:pP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3C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8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保障通借通还率</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EC1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08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C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62A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43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3315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7C04EEF">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27E4">
            <w:pPr>
              <w:jc w:val="center"/>
              <w:rPr>
                <w:rFonts w:hint="eastAsia" w:ascii="宋体" w:hAnsi="宋体" w:eastAsia="宋体" w:cs="宋体"/>
                <w:i w:val="0"/>
                <w:iCs w:val="0"/>
                <w:color w:val="000000"/>
                <w:sz w:val="18"/>
                <w:szCs w:val="18"/>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EA54">
            <w:pPr>
              <w:jc w:val="center"/>
              <w:rPr>
                <w:rFonts w:hint="eastAsia" w:ascii="宋体" w:hAnsi="宋体" w:eastAsia="宋体" w:cs="宋体"/>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D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丰富图书免费开放活动内容</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BDA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79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A6A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9A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026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2EBB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1E2ED98">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14FE">
            <w:pPr>
              <w:jc w:val="center"/>
              <w:rPr>
                <w:rFonts w:hint="eastAsia" w:ascii="宋体" w:hAnsi="宋体" w:eastAsia="宋体" w:cs="宋体"/>
                <w:i w:val="0"/>
                <w:iCs w:val="0"/>
                <w:color w:val="000000"/>
                <w:sz w:val="18"/>
                <w:szCs w:val="18"/>
                <w:u w:val="none"/>
              </w:rPr>
            </w:pPr>
          </w:p>
        </w:tc>
        <w:tc>
          <w:tcPr>
            <w:tcW w:w="1864" w:type="dxa"/>
            <w:tcBorders>
              <w:top w:val="nil"/>
              <w:left w:val="single" w:color="000000" w:sz="4" w:space="0"/>
              <w:bottom w:val="single" w:color="000000" w:sz="4" w:space="0"/>
              <w:right w:val="single" w:color="000000" w:sz="4" w:space="0"/>
            </w:tcBorders>
            <w:shd w:val="clear" w:color="auto" w:fill="auto"/>
            <w:vAlign w:val="center"/>
          </w:tcPr>
          <w:p w14:paraId="3B336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2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经费支出及时性</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4AF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0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及时</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38D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7F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CC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43BE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B749161">
            <w:pPr>
              <w:jc w:val="center"/>
              <w:rPr>
                <w:rFonts w:hint="eastAsia" w:ascii="MingLiU" w:hAnsi="MingLiU" w:eastAsia="MingLiU" w:cs="MingLiU"/>
                <w:i w:val="0"/>
                <w:iCs w:val="0"/>
                <w:color w:val="000000"/>
                <w:sz w:val="20"/>
                <w:szCs w:val="20"/>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409B">
            <w:pPr>
              <w:jc w:val="center"/>
              <w:rPr>
                <w:rFonts w:hint="eastAsia" w:ascii="宋体" w:hAnsi="宋体" w:eastAsia="宋体" w:cs="宋体"/>
                <w:i w:val="0"/>
                <w:iCs w:val="0"/>
                <w:color w:val="000000"/>
                <w:sz w:val="18"/>
                <w:szCs w:val="18"/>
                <w:u w:val="none"/>
              </w:rPr>
            </w:pPr>
          </w:p>
        </w:tc>
        <w:tc>
          <w:tcPr>
            <w:tcW w:w="1864" w:type="dxa"/>
            <w:tcBorders>
              <w:top w:val="nil"/>
              <w:left w:val="single" w:color="000000" w:sz="4" w:space="0"/>
              <w:bottom w:val="single" w:color="000000" w:sz="4" w:space="0"/>
              <w:right w:val="single" w:color="000000" w:sz="4" w:space="0"/>
            </w:tcBorders>
            <w:shd w:val="clear" w:color="auto" w:fill="auto"/>
            <w:vAlign w:val="center"/>
          </w:tcPr>
          <w:p w14:paraId="40D57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区级图书总分馆制建设试点项目资金指标（万元）</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629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51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2C3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1F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E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反向指标</w:t>
            </w:r>
          </w:p>
        </w:tc>
      </w:tr>
      <w:tr w14:paraId="6ACD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B03EC46">
            <w:pPr>
              <w:jc w:val="center"/>
              <w:rPr>
                <w:rFonts w:hint="eastAsia" w:ascii="MingLiU" w:hAnsi="MingLiU" w:eastAsia="MingLiU" w:cs="MingLiU"/>
                <w:i w:val="0"/>
                <w:iCs w:val="0"/>
                <w:color w:val="000000"/>
                <w:sz w:val="20"/>
                <w:szCs w:val="20"/>
                <w:u w:val="none"/>
              </w:rPr>
            </w:pPr>
          </w:p>
        </w:tc>
        <w:tc>
          <w:tcPr>
            <w:tcW w:w="1240" w:type="dxa"/>
            <w:vMerge w:val="restart"/>
            <w:tcBorders>
              <w:top w:val="nil"/>
              <w:left w:val="single" w:color="000000" w:sz="4" w:space="0"/>
              <w:bottom w:val="single" w:color="000000" w:sz="4" w:space="0"/>
              <w:right w:val="single" w:color="000000" w:sz="4" w:space="0"/>
            </w:tcBorders>
            <w:shd w:val="clear" w:color="auto" w:fill="auto"/>
            <w:vAlign w:val="center"/>
          </w:tcPr>
          <w:p w14:paraId="6AEC3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864" w:type="dxa"/>
            <w:vMerge w:val="restart"/>
            <w:tcBorders>
              <w:top w:val="nil"/>
              <w:left w:val="single" w:color="000000" w:sz="4" w:space="0"/>
              <w:bottom w:val="single" w:color="000000" w:sz="4" w:space="0"/>
              <w:right w:val="single" w:color="000000" w:sz="4" w:space="0"/>
            </w:tcBorders>
            <w:shd w:val="clear" w:color="auto" w:fill="auto"/>
            <w:vAlign w:val="center"/>
          </w:tcPr>
          <w:p w14:paraId="2F99F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B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提高公共文化服务水平</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A43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4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4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738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5E7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3993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0A2954A">
            <w:pPr>
              <w:jc w:val="center"/>
              <w:rPr>
                <w:rFonts w:hint="eastAsia" w:ascii="MingLiU" w:hAnsi="MingLiU" w:eastAsia="MingLiU" w:cs="MingLiU"/>
                <w:i w:val="0"/>
                <w:iCs w:val="0"/>
                <w:color w:val="000000"/>
                <w:sz w:val="20"/>
                <w:szCs w:val="20"/>
                <w:u w:val="none"/>
              </w:rPr>
            </w:pPr>
          </w:p>
        </w:tc>
        <w:tc>
          <w:tcPr>
            <w:tcW w:w="1240" w:type="dxa"/>
            <w:vMerge w:val="continue"/>
            <w:tcBorders>
              <w:top w:val="nil"/>
              <w:left w:val="single" w:color="000000" w:sz="4" w:space="0"/>
              <w:bottom w:val="single" w:color="000000" w:sz="4" w:space="0"/>
              <w:right w:val="single" w:color="000000" w:sz="4" w:space="0"/>
            </w:tcBorders>
            <w:shd w:val="clear" w:color="auto" w:fill="auto"/>
            <w:vAlign w:val="center"/>
          </w:tcPr>
          <w:p w14:paraId="471C1237">
            <w:pPr>
              <w:jc w:val="center"/>
              <w:rPr>
                <w:rFonts w:hint="eastAsia" w:ascii="宋体" w:hAnsi="宋体" w:eastAsia="宋体" w:cs="宋体"/>
                <w:i w:val="0"/>
                <w:iCs w:val="0"/>
                <w:color w:val="000000"/>
                <w:sz w:val="18"/>
                <w:szCs w:val="18"/>
                <w:u w:val="none"/>
              </w:rPr>
            </w:pPr>
          </w:p>
        </w:tc>
        <w:tc>
          <w:tcPr>
            <w:tcW w:w="1864" w:type="dxa"/>
            <w:vMerge w:val="continue"/>
            <w:tcBorders>
              <w:top w:val="nil"/>
              <w:left w:val="single" w:color="000000" w:sz="4" w:space="0"/>
              <w:bottom w:val="single" w:color="000000" w:sz="4" w:space="0"/>
              <w:right w:val="single" w:color="000000" w:sz="4" w:space="0"/>
            </w:tcBorders>
            <w:shd w:val="clear" w:color="auto" w:fill="auto"/>
            <w:vAlign w:val="center"/>
          </w:tcPr>
          <w:p w14:paraId="013F318B">
            <w:pPr>
              <w:jc w:val="center"/>
              <w:rPr>
                <w:rFonts w:hint="eastAsia" w:ascii="宋体" w:hAnsi="宋体" w:eastAsia="宋体" w:cs="宋体"/>
                <w:i w:val="0"/>
                <w:iCs w:val="0"/>
                <w:color w:val="000000"/>
                <w:sz w:val="18"/>
                <w:szCs w:val="18"/>
                <w:u w:val="none"/>
              </w:rPr>
            </w:pP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持续健全完善图书馆服务体系</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224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B7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98F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4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1E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797D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0D0F827">
            <w:pPr>
              <w:jc w:val="center"/>
              <w:rPr>
                <w:rFonts w:hint="eastAsia" w:ascii="MingLiU" w:hAnsi="MingLiU" w:eastAsia="MingLiU" w:cs="MingLiU"/>
                <w:i w:val="0"/>
                <w:iCs w:val="0"/>
                <w:color w:val="000000"/>
                <w:sz w:val="20"/>
                <w:szCs w:val="20"/>
                <w:u w:val="none"/>
              </w:rPr>
            </w:pPr>
          </w:p>
        </w:tc>
        <w:tc>
          <w:tcPr>
            <w:tcW w:w="1240" w:type="dxa"/>
            <w:vMerge w:val="continue"/>
            <w:tcBorders>
              <w:top w:val="nil"/>
              <w:left w:val="single" w:color="000000" w:sz="4" w:space="0"/>
              <w:bottom w:val="single" w:color="000000" w:sz="4" w:space="0"/>
              <w:right w:val="single" w:color="000000" w:sz="4" w:space="0"/>
            </w:tcBorders>
            <w:shd w:val="clear" w:color="auto" w:fill="auto"/>
            <w:vAlign w:val="center"/>
          </w:tcPr>
          <w:p w14:paraId="1693A067">
            <w:pPr>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1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丰富群众精神文化生活</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06F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81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C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9D4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ED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r w14:paraId="459D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757D85C">
            <w:pPr>
              <w:jc w:val="center"/>
              <w:rPr>
                <w:rFonts w:hint="eastAsia" w:ascii="MingLiU" w:hAnsi="MingLiU" w:eastAsia="MingLiU" w:cs="MingLiU"/>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F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5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F6C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00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33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B9C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03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正向指标</w:t>
            </w:r>
          </w:p>
        </w:tc>
      </w:tr>
    </w:tbl>
    <w:p w14:paraId="2B33CB98">
      <w:pPr>
        <w:spacing w:line="578" w:lineRule="exact"/>
        <w:rPr>
          <w:rFonts w:hint="eastAsia" w:ascii="仿宋_GB2312" w:hAnsi="ˎ̥" w:eastAsia="仿宋_GB2312"/>
          <w:sz w:val="32"/>
          <w:szCs w:val="32"/>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panose1 w:val="02010601030101010101"/>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0FA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17</w:t>
    </w:r>
    <w:r>
      <w:fldChar w:fldCharType="end"/>
    </w:r>
  </w:p>
  <w:p w14:paraId="395C04C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F157">
    <w:pPr>
      <w:pStyle w:val="6"/>
      <w:framePr w:wrap="around" w:vAnchor="text" w:hAnchor="margin" w:xAlign="center" w:y="1"/>
      <w:rPr>
        <w:rStyle w:val="12"/>
      </w:rPr>
    </w:pPr>
    <w:r>
      <w:fldChar w:fldCharType="begin"/>
    </w:r>
    <w:r>
      <w:rPr>
        <w:rStyle w:val="12"/>
      </w:rPr>
      <w:instrText xml:space="preserve">PAGE  </w:instrText>
    </w:r>
    <w:r>
      <w:fldChar w:fldCharType="end"/>
    </w:r>
  </w:p>
  <w:p w14:paraId="4862D31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C31468D7"/>
    <w:multiLevelType w:val="singleLevel"/>
    <w:tmpl w:val="C31468D7"/>
    <w:lvl w:ilvl="0" w:tentative="0">
      <w:start w:val="3"/>
      <w:numFmt w:val="chineseCounting"/>
      <w:suff w:val="nothing"/>
      <w:lvlText w:val="（%1）"/>
      <w:lvlJc w:val="left"/>
      <w:pPr>
        <w:ind w:left="-10"/>
      </w:pPr>
      <w:rPr>
        <w:rFonts w:hint="eastAsia"/>
      </w:rPr>
    </w:lvl>
  </w:abstractNum>
  <w:abstractNum w:abstractNumId="2">
    <w:nsid w:val="CF27FBC7"/>
    <w:multiLevelType w:val="singleLevel"/>
    <w:tmpl w:val="CF27FBC7"/>
    <w:lvl w:ilvl="0" w:tentative="0">
      <w:start w:val="2"/>
      <w:numFmt w:val="chineseCounting"/>
      <w:suff w:val="nothing"/>
      <w:lvlText w:val="（%1）"/>
      <w:lvlJc w:val="left"/>
      <w:rPr>
        <w:rFonts w:hint="eastAsia"/>
      </w:rPr>
    </w:lvl>
  </w:abstractNum>
  <w:abstractNum w:abstractNumId="3">
    <w:nsid w:val="D452C360"/>
    <w:multiLevelType w:val="singleLevel"/>
    <w:tmpl w:val="D452C360"/>
    <w:lvl w:ilvl="0" w:tentative="0">
      <w:start w:val="1"/>
      <w:numFmt w:val="chineseCounting"/>
      <w:suff w:val="nothing"/>
      <w:lvlText w:val="%1、"/>
      <w:lvlJc w:val="left"/>
      <w:rPr>
        <w:rFonts w:hint="eastAsia"/>
      </w:rPr>
    </w:lvl>
  </w:abstractNum>
  <w:abstractNum w:abstractNumId="4">
    <w:nsid w:val="DC99F7D7"/>
    <w:multiLevelType w:val="singleLevel"/>
    <w:tmpl w:val="DC99F7D7"/>
    <w:lvl w:ilvl="0" w:tentative="0">
      <w:start w:val="2"/>
      <w:numFmt w:val="decimal"/>
      <w:lvlText w:val="%1."/>
      <w:lvlJc w:val="left"/>
      <w:pPr>
        <w:tabs>
          <w:tab w:val="left" w:pos="312"/>
        </w:tabs>
      </w:pPr>
    </w:lvl>
  </w:abstractNum>
  <w:abstractNum w:abstractNumId="5">
    <w:nsid w:val="EBB79390"/>
    <w:multiLevelType w:val="singleLevel"/>
    <w:tmpl w:val="EBB79390"/>
    <w:lvl w:ilvl="0" w:tentative="0">
      <w:start w:val="3"/>
      <w:numFmt w:val="chineseCounting"/>
      <w:suff w:val="nothing"/>
      <w:lvlText w:val="%1、"/>
      <w:lvlJc w:val="left"/>
      <w:rPr>
        <w:rFonts w:hint="eastAsia"/>
      </w:rPr>
    </w:lvl>
  </w:abstractNum>
  <w:abstractNum w:abstractNumId="6">
    <w:nsid w:val="6444F97A"/>
    <w:multiLevelType w:val="singleLevel"/>
    <w:tmpl w:val="6444F97A"/>
    <w:lvl w:ilvl="0" w:tentative="0">
      <w:start w:val="4"/>
      <w:numFmt w:val="chineseCounting"/>
      <w:suff w:val="nothing"/>
      <w:lvlText w:val="（%1）"/>
      <w:lvlJc w:val="left"/>
    </w:lvl>
  </w:abstractNum>
  <w:abstractNum w:abstractNumId="7">
    <w:nsid w:val="72109F8D"/>
    <w:multiLevelType w:val="singleLevel"/>
    <w:tmpl w:val="72109F8D"/>
    <w:lvl w:ilvl="0" w:tentative="0">
      <w:start w:val="7"/>
      <w:numFmt w:val="chineseCounting"/>
      <w:suff w:val="nothing"/>
      <w:lvlText w:val="%1、"/>
      <w:lvlJc w:val="left"/>
      <w:rPr>
        <w:rFonts w:hint="eastAsia"/>
      </w:rPr>
    </w:lvl>
  </w:abstractNum>
  <w:abstractNum w:abstractNumId="8">
    <w:nsid w:val="796469F1"/>
    <w:multiLevelType w:val="singleLevel"/>
    <w:tmpl w:val="796469F1"/>
    <w:lvl w:ilvl="0" w:tentative="0">
      <w:start w:val="2"/>
      <w:numFmt w:val="decimal"/>
      <w:lvlText w:val="%1."/>
      <w:lvlJc w:val="left"/>
      <w:pPr>
        <w:tabs>
          <w:tab w:val="left" w:pos="312"/>
        </w:tabs>
      </w:pPr>
    </w:lvl>
  </w:abstractNum>
  <w:num w:numId="1">
    <w:abstractNumId w:val="7"/>
  </w:num>
  <w:num w:numId="2">
    <w:abstractNumId w:val="3"/>
  </w:num>
  <w:num w:numId="3">
    <w:abstractNumId w:val="4"/>
  </w:num>
  <w:num w:numId="4">
    <w:abstractNumId w:val="0"/>
  </w:num>
  <w:num w:numId="5">
    <w:abstractNumId w:val="2"/>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2VlZThlZDk5ZTQ4MTFjNGY3MjIxNTdiOWMzZmQwMWMifQ=="/>
  </w:docVars>
  <w:rsids>
    <w:rsidRoot w:val="A7F73C99"/>
    <w:rsid w:val="00064A91"/>
    <w:rsid w:val="000718C4"/>
    <w:rsid w:val="000746F4"/>
    <w:rsid w:val="000779B0"/>
    <w:rsid w:val="001C4A4D"/>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A2DD2"/>
    <w:rsid w:val="005C43A2"/>
    <w:rsid w:val="005E64FB"/>
    <w:rsid w:val="005F24C8"/>
    <w:rsid w:val="005F5987"/>
    <w:rsid w:val="00602EED"/>
    <w:rsid w:val="00602F65"/>
    <w:rsid w:val="006B0D64"/>
    <w:rsid w:val="00702588"/>
    <w:rsid w:val="00731FC7"/>
    <w:rsid w:val="00740E64"/>
    <w:rsid w:val="00754F6E"/>
    <w:rsid w:val="007A4101"/>
    <w:rsid w:val="00820C9A"/>
    <w:rsid w:val="008232A9"/>
    <w:rsid w:val="00851DDE"/>
    <w:rsid w:val="00896ADB"/>
    <w:rsid w:val="009A2744"/>
    <w:rsid w:val="00A218CA"/>
    <w:rsid w:val="00A54A37"/>
    <w:rsid w:val="00A70448"/>
    <w:rsid w:val="00AA19F3"/>
    <w:rsid w:val="00AC28EE"/>
    <w:rsid w:val="00AC3F0E"/>
    <w:rsid w:val="00B36E61"/>
    <w:rsid w:val="00B409FF"/>
    <w:rsid w:val="00B4133E"/>
    <w:rsid w:val="00B54DE8"/>
    <w:rsid w:val="00B63E9E"/>
    <w:rsid w:val="00BA2F1D"/>
    <w:rsid w:val="00BC0439"/>
    <w:rsid w:val="00C04C21"/>
    <w:rsid w:val="00C33096"/>
    <w:rsid w:val="00C7436A"/>
    <w:rsid w:val="00CA0F14"/>
    <w:rsid w:val="00CA536B"/>
    <w:rsid w:val="00CB0D1E"/>
    <w:rsid w:val="00CD4B80"/>
    <w:rsid w:val="00CD6E49"/>
    <w:rsid w:val="00CD794A"/>
    <w:rsid w:val="00CE39B9"/>
    <w:rsid w:val="00D80A1E"/>
    <w:rsid w:val="00DB612B"/>
    <w:rsid w:val="00DC2A37"/>
    <w:rsid w:val="00E07782"/>
    <w:rsid w:val="00E70EA3"/>
    <w:rsid w:val="00F0336A"/>
    <w:rsid w:val="00F06DA9"/>
    <w:rsid w:val="00F103D6"/>
    <w:rsid w:val="00F25220"/>
    <w:rsid w:val="00FA2884"/>
    <w:rsid w:val="00FC03DC"/>
    <w:rsid w:val="00FC5708"/>
    <w:rsid w:val="01B91D0C"/>
    <w:rsid w:val="020967F0"/>
    <w:rsid w:val="028E13EB"/>
    <w:rsid w:val="029C3B08"/>
    <w:rsid w:val="038325D2"/>
    <w:rsid w:val="051756C8"/>
    <w:rsid w:val="054F4E62"/>
    <w:rsid w:val="067D59FE"/>
    <w:rsid w:val="06FE22FA"/>
    <w:rsid w:val="073C1416"/>
    <w:rsid w:val="076B3AA9"/>
    <w:rsid w:val="079D4D3F"/>
    <w:rsid w:val="07B137EF"/>
    <w:rsid w:val="08556713"/>
    <w:rsid w:val="08655BFC"/>
    <w:rsid w:val="086A3D60"/>
    <w:rsid w:val="08844E22"/>
    <w:rsid w:val="09201287"/>
    <w:rsid w:val="09684744"/>
    <w:rsid w:val="09D75426"/>
    <w:rsid w:val="0A223704"/>
    <w:rsid w:val="0A492E9B"/>
    <w:rsid w:val="0A7D7D7B"/>
    <w:rsid w:val="0AAA48E8"/>
    <w:rsid w:val="0B766739"/>
    <w:rsid w:val="0B93537C"/>
    <w:rsid w:val="0B9730BE"/>
    <w:rsid w:val="0BC0517A"/>
    <w:rsid w:val="0C3E353A"/>
    <w:rsid w:val="0C4274CE"/>
    <w:rsid w:val="0D0F6FDB"/>
    <w:rsid w:val="0D927468"/>
    <w:rsid w:val="0DFC402D"/>
    <w:rsid w:val="0E543DD3"/>
    <w:rsid w:val="0E686F94"/>
    <w:rsid w:val="0EFD1F31"/>
    <w:rsid w:val="0FA97C63"/>
    <w:rsid w:val="0FC46D40"/>
    <w:rsid w:val="0FC80124"/>
    <w:rsid w:val="10685029"/>
    <w:rsid w:val="10D43EBB"/>
    <w:rsid w:val="10E8616A"/>
    <w:rsid w:val="118A67A0"/>
    <w:rsid w:val="12345B49"/>
    <w:rsid w:val="132D4308"/>
    <w:rsid w:val="133631BD"/>
    <w:rsid w:val="134B1FE3"/>
    <w:rsid w:val="136F98C7"/>
    <w:rsid w:val="138640DC"/>
    <w:rsid w:val="14AF76CB"/>
    <w:rsid w:val="15806971"/>
    <w:rsid w:val="15B350F7"/>
    <w:rsid w:val="15FB06EE"/>
    <w:rsid w:val="17427E68"/>
    <w:rsid w:val="1755065F"/>
    <w:rsid w:val="179606CE"/>
    <w:rsid w:val="18AB01A9"/>
    <w:rsid w:val="195645B9"/>
    <w:rsid w:val="1A53471B"/>
    <w:rsid w:val="1AFC29C9"/>
    <w:rsid w:val="1B373E39"/>
    <w:rsid w:val="1B707488"/>
    <w:rsid w:val="1C2838BF"/>
    <w:rsid w:val="1C3B7A96"/>
    <w:rsid w:val="1C4C2FBE"/>
    <w:rsid w:val="1CA52F2E"/>
    <w:rsid w:val="1CE123EB"/>
    <w:rsid w:val="1D0C476B"/>
    <w:rsid w:val="1DFE370B"/>
    <w:rsid w:val="1E3630B9"/>
    <w:rsid w:val="1F2B2044"/>
    <w:rsid w:val="202008AB"/>
    <w:rsid w:val="205630F0"/>
    <w:rsid w:val="20967991"/>
    <w:rsid w:val="20AC64F0"/>
    <w:rsid w:val="20D81D57"/>
    <w:rsid w:val="220628F4"/>
    <w:rsid w:val="221E379A"/>
    <w:rsid w:val="22CA56D0"/>
    <w:rsid w:val="235356C5"/>
    <w:rsid w:val="24F904EE"/>
    <w:rsid w:val="25902C01"/>
    <w:rsid w:val="25F25669"/>
    <w:rsid w:val="266B541C"/>
    <w:rsid w:val="26EEC2B5"/>
    <w:rsid w:val="271B0BF0"/>
    <w:rsid w:val="27AE3812"/>
    <w:rsid w:val="27AE55C0"/>
    <w:rsid w:val="280B656E"/>
    <w:rsid w:val="283634DB"/>
    <w:rsid w:val="29472309"/>
    <w:rsid w:val="29E11C7D"/>
    <w:rsid w:val="2A257690"/>
    <w:rsid w:val="2A5306A1"/>
    <w:rsid w:val="2B406E77"/>
    <w:rsid w:val="2B522706"/>
    <w:rsid w:val="2C2A0C43"/>
    <w:rsid w:val="2D1E73A5"/>
    <w:rsid w:val="2D4D587B"/>
    <w:rsid w:val="2DE27D71"/>
    <w:rsid w:val="2E262354"/>
    <w:rsid w:val="2EE84707"/>
    <w:rsid w:val="2F3960B7"/>
    <w:rsid w:val="307D6477"/>
    <w:rsid w:val="30E107B4"/>
    <w:rsid w:val="31C944AD"/>
    <w:rsid w:val="323B2146"/>
    <w:rsid w:val="32717154"/>
    <w:rsid w:val="32904240"/>
    <w:rsid w:val="32DA370D"/>
    <w:rsid w:val="32FD564D"/>
    <w:rsid w:val="345E3ECA"/>
    <w:rsid w:val="34B63260"/>
    <w:rsid w:val="351C000D"/>
    <w:rsid w:val="35661288"/>
    <w:rsid w:val="35C44201"/>
    <w:rsid w:val="363B455F"/>
    <w:rsid w:val="37FDA7E2"/>
    <w:rsid w:val="38BD38B5"/>
    <w:rsid w:val="390F7E89"/>
    <w:rsid w:val="39567F04"/>
    <w:rsid w:val="39643D30"/>
    <w:rsid w:val="3977257D"/>
    <w:rsid w:val="39902D77"/>
    <w:rsid w:val="39EF3F42"/>
    <w:rsid w:val="3A314D88"/>
    <w:rsid w:val="3A3D499C"/>
    <w:rsid w:val="3A4A73CA"/>
    <w:rsid w:val="3A4B4EF0"/>
    <w:rsid w:val="3A604C36"/>
    <w:rsid w:val="3A746883"/>
    <w:rsid w:val="3A9B19D4"/>
    <w:rsid w:val="3ADB6274"/>
    <w:rsid w:val="3B514788"/>
    <w:rsid w:val="3C50711C"/>
    <w:rsid w:val="3CA15DE9"/>
    <w:rsid w:val="3D1B504E"/>
    <w:rsid w:val="3D766728"/>
    <w:rsid w:val="3D7A67A8"/>
    <w:rsid w:val="3DB3600C"/>
    <w:rsid w:val="3DEB0B6D"/>
    <w:rsid w:val="3EFE4C27"/>
    <w:rsid w:val="3F43088C"/>
    <w:rsid w:val="3F880B80"/>
    <w:rsid w:val="3F9A459E"/>
    <w:rsid w:val="3F9D4BC2"/>
    <w:rsid w:val="3FE61EE5"/>
    <w:rsid w:val="406508EE"/>
    <w:rsid w:val="407C4056"/>
    <w:rsid w:val="408D6263"/>
    <w:rsid w:val="40AB66E9"/>
    <w:rsid w:val="40D0614F"/>
    <w:rsid w:val="41004C87"/>
    <w:rsid w:val="4177417D"/>
    <w:rsid w:val="41984EBF"/>
    <w:rsid w:val="41B40CEE"/>
    <w:rsid w:val="42884F34"/>
    <w:rsid w:val="42A45AE6"/>
    <w:rsid w:val="42E242FD"/>
    <w:rsid w:val="4335673E"/>
    <w:rsid w:val="43BB30E7"/>
    <w:rsid w:val="440304A9"/>
    <w:rsid w:val="45303661"/>
    <w:rsid w:val="45684BA8"/>
    <w:rsid w:val="45D4223E"/>
    <w:rsid w:val="47E50732"/>
    <w:rsid w:val="48317291"/>
    <w:rsid w:val="484D62D8"/>
    <w:rsid w:val="485F7024"/>
    <w:rsid w:val="48E70666"/>
    <w:rsid w:val="49117305"/>
    <w:rsid w:val="49423962"/>
    <w:rsid w:val="4A7A7858"/>
    <w:rsid w:val="4C6877E5"/>
    <w:rsid w:val="4D6A468D"/>
    <w:rsid w:val="4DBE3EFF"/>
    <w:rsid w:val="4EA86137"/>
    <w:rsid w:val="4F37536F"/>
    <w:rsid w:val="4F455F5A"/>
    <w:rsid w:val="4F4F0B87"/>
    <w:rsid w:val="5012408F"/>
    <w:rsid w:val="508B7505"/>
    <w:rsid w:val="510D119A"/>
    <w:rsid w:val="517E7434"/>
    <w:rsid w:val="519531C9"/>
    <w:rsid w:val="51BC0756"/>
    <w:rsid w:val="521D1B55"/>
    <w:rsid w:val="528F7C18"/>
    <w:rsid w:val="53083527"/>
    <w:rsid w:val="531B76FE"/>
    <w:rsid w:val="535C5B8D"/>
    <w:rsid w:val="536A5F90"/>
    <w:rsid w:val="539F20DD"/>
    <w:rsid w:val="53C07DDC"/>
    <w:rsid w:val="53C41B44"/>
    <w:rsid w:val="54295E4B"/>
    <w:rsid w:val="546A4F32"/>
    <w:rsid w:val="557D2F68"/>
    <w:rsid w:val="558A2919"/>
    <w:rsid w:val="55A03EEB"/>
    <w:rsid w:val="55C951EF"/>
    <w:rsid w:val="567710EF"/>
    <w:rsid w:val="56CA7FD0"/>
    <w:rsid w:val="57272B15"/>
    <w:rsid w:val="579F49E7"/>
    <w:rsid w:val="57AA72A2"/>
    <w:rsid w:val="57FA38D1"/>
    <w:rsid w:val="580C3AB9"/>
    <w:rsid w:val="58505428"/>
    <w:rsid w:val="5889510A"/>
    <w:rsid w:val="59144E3F"/>
    <w:rsid w:val="595C45CC"/>
    <w:rsid w:val="59A26483"/>
    <w:rsid w:val="59B53369"/>
    <w:rsid w:val="5A5B4884"/>
    <w:rsid w:val="5B060C94"/>
    <w:rsid w:val="5BD91094"/>
    <w:rsid w:val="5C69772C"/>
    <w:rsid w:val="5CB12E81"/>
    <w:rsid w:val="5CD252D1"/>
    <w:rsid w:val="5E93283E"/>
    <w:rsid w:val="5F0E0117"/>
    <w:rsid w:val="5F7D3333"/>
    <w:rsid w:val="5FB54A36"/>
    <w:rsid w:val="602B6AA7"/>
    <w:rsid w:val="60BD1166"/>
    <w:rsid w:val="61385890"/>
    <w:rsid w:val="626F711E"/>
    <w:rsid w:val="628C1A7E"/>
    <w:rsid w:val="62E0626E"/>
    <w:rsid w:val="632E59AA"/>
    <w:rsid w:val="63BA2E1C"/>
    <w:rsid w:val="64371EBE"/>
    <w:rsid w:val="6483791E"/>
    <w:rsid w:val="64923598"/>
    <w:rsid w:val="65004714"/>
    <w:rsid w:val="653916AB"/>
    <w:rsid w:val="655D5954"/>
    <w:rsid w:val="65AC068A"/>
    <w:rsid w:val="65B65064"/>
    <w:rsid w:val="65BC08CD"/>
    <w:rsid w:val="65D06126"/>
    <w:rsid w:val="66091638"/>
    <w:rsid w:val="687436E1"/>
    <w:rsid w:val="68C1269E"/>
    <w:rsid w:val="69A91168"/>
    <w:rsid w:val="69F543AD"/>
    <w:rsid w:val="6A590DE0"/>
    <w:rsid w:val="6AB46DB7"/>
    <w:rsid w:val="6B0D5727"/>
    <w:rsid w:val="6B8C4E4E"/>
    <w:rsid w:val="6C2C6080"/>
    <w:rsid w:val="6CCB7647"/>
    <w:rsid w:val="6D7D3037"/>
    <w:rsid w:val="6D9640F9"/>
    <w:rsid w:val="6DA45C50"/>
    <w:rsid w:val="6DF24A78"/>
    <w:rsid w:val="6E1A0886"/>
    <w:rsid w:val="6E9A7825"/>
    <w:rsid w:val="6EF375AD"/>
    <w:rsid w:val="6F670F9B"/>
    <w:rsid w:val="6F906926"/>
    <w:rsid w:val="70383246"/>
    <w:rsid w:val="706758D9"/>
    <w:rsid w:val="714D0F73"/>
    <w:rsid w:val="716B764B"/>
    <w:rsid w:val="724830AF"/>
    <w:rsid w:val="735A0EF1"/>
    <w:rsid w:val="737450E0"/>
    <w:rsid w:val="73AB1F81"/>
    <w:rsid w:val="73B61051"/>
    <w:rsid w:val="74054476"/>
    <w:rsid w:val="742F38C4"/>
    <w:rsid w:val="74AB66DC"/>
    <w:rsid w:val="74C4154C"/>
    <w:rsid w:val="754D1541"/>
    <w:rsid w:val="75956FFF"/>
    <w:rsid w:val="75DC28C5"/>
    <w:rsid w:val="770D2650"/>
    <w:rsid w:val="77316C41"/>
    <w:rsid w:val="77AA2D01"/>
    <w:rsid w:val="77E141C3"/>
    <w:rsid w:val="78054355"/>
    <w:rsid w:val="79206F6D"/>
    <w:rsid w:val="79510FA3"/>
    <w:rsid w:val="7AE77D42"/>
    <w:rsid w:val="7AFB37ED"/>
    <w:rsid w:val="7B4D2EFC"/>
    <w:rsid w:val="7BCB432B"/>
    <w:rsid w:val="7C174657"/>
    <w:rsid w:val="7C8C2CA7"/>
    <w:rsid w:val="7CA659DB"/>
    <w:rsid w:val="7CDE1DBD"/>
    <w:rsid w:val="7D1D5C9D"/>
    <w:rsid w:val="7D943A85"/>
    <w:rsid w:val="7DB0448C"/>
    <w:rsid w:val="7E1E1B90"/>
    <w:rsid w:val="7E5F9AA4"/>
    <w:rsid w:val="7EBC14E6"/>
    <w:rsid w:val="7F4C286A"/>
    <w:rsid w:val="7F721F37"/>
    <w:rsid w:val="8FFC8888"/>
    <w:rsid w:val="A7F73C99"/>
    <w:rsid w:val="BFFE3BF4"/>
    <w:rsid w:val="DFEBDA37"/>
    <w:rsid w:val="EF6FCA1D"/>
    <w:rsid w:val="EFFF57D6"/>
    <w:rsid w:val="FD33A2D0"/>
    <w:rsid w:val="FF7FA20F"/>
    <w:rsid w:val="FFFE8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Indent"/>
    <w:basedOn w:val="1"/>
    <w:semiHidden/>
    <w:unhideWhenUsed/>
    <w:qFormat/>
    <w:uiPriority w:val="99"/>
    <w:pPr>
      <w:spacing w:after="120"/>
      <w:ind w:left="420" w:leftChars="200"/>
    </w:pPr>
  </w:style>
  <w:style w:type="paragraph" w:styleId="4">
    <w:name w:val="toc 3"/>
    <w:basedOn w:val="1"/>
    <w:next w:val="1"/>
    <w:semiHidden/>
    <w:unhideWhenUsed/>
    <w:qFormat/>
    <w:uiPriority w:val="39"/>
    <w:pPr>
      <w:ind w:left="840" w:leftChars="400"/>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paragraph" w:styleId="9">
    <w:name w:val="Body Text First Indent 2"/>
    <w:basedOn w:val="3"/>
    <w:next w:val="4"/>
    <w:qFormat/>
    <w:uiPriority w:val="0"/>
    <w:pPr>
      <w:spacing w:after="0"/>
      <w:ind w:firstLine="420" w:firstLineChars="200"/>
    </w:pPr>
    <w:rPr>
      <w:rFonts w:ascii="Calibri" w:hAnsi="Calibri" w:eastAsia="宋体" w:cs="Times New Roman"/>
      <w:szCs w:val="24"/>
    </w:r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批注文字 Char"/>
    <w:link w:val="2"/>
    <w:qFormat/>
    <w:uiPriority w:val="0"/>
    <w:rPr>
      <w:kern w:val="2"/>
      <w:sz w:val="21"/>
      <w:szCs w:val="24"/>
    </w:rPr>
  </w:style>
  <w:style w:type="character" w:customStyle="1" w:styleId="15">
    <w:name w:val="批注框文本 Char"/>
    <w:link w:val="5"/>
    <w:qFormat/>
    <w:uiPriority w:val="0"/>
    <w:rPr>
      <w:kern w:val="2"/>
      <w:sz w:val="18"/>
      <w:szCs w:val="18"/>
    </w:rPr>
  </w:style>
  <w:style w:type="character" w:customStyle="1" w:styleId="16">
    <w:name w:val="页眉 Char"/>
    <w:link w:val="7"/>
    <w:qFormat/>
    <w:uiPriority w:val="0"/>
    <w:rPr>
      <w:kern w:val="2"/>
      <w:sz w:val="18"/>
      <w:szCs w:val="18"/>
    </w:rPr>
  </w:style>
  <w:style w:type="character" w:customStyle="1" w:styleId="17">
    <w:name w:val="批注主题 Char"/>
    <w:link w:val="8"/>
    <w:qFormat/>
    <w:uiPriority w:val="0"/>
    <w:rPr>
      <w:b/>
      <w:bCs/>
      <w:kern w:val="2"/>
      <w:sz w:val="21"/>
      <w:szCs w:val="24"/>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正文1 Char Char Char"/>
    <w:basedOn w:val="1"/>
    <w:qFormat/>
    <w:uiPriority w:val="0"/>
    <w:pPr>
      <w:spacing w:line="360" w:lineRule="auto"/>
      <w:ind w:firstLine="200" w:firstLineChars="200"/>
    </w:pPr>
  </w:style>
  <w:style w:type="character" w:customStyle="1" w:styleId="21">
    <w:name w:val="font41"/>
    <w:basedOn w:val="11"/>
    <w:qFormat/>
    <w:uiPriority w:val="0"/>
    <w:rPr>
      <w:rFonts w:hint="eastAsia" w:ascii="宋体" w:hAnsi="宋体" w:eastAsia="宋体" w:cs="宋体"/>
      <w:color w:val="000000"/>
      <w:sz w:val="36"/>
      <w:szCs w:val="36"/>
      <w:u w:val="none"/>
    </w:rPr>
  </w:style>
  <w:style w:type="character" w:customStyle="1" w:styleId="22">
    <w:name w:val="font101"/>
    <w:basedOn w:val="11"/>
    <w:qFormat/>
    <w:uiPriority w:val="0"/>
    <w:rPr>
      <w:rFonts w:hint="eastAsia" w:ascii="宋体" w:hAnsi="宋体" w:eastAsia="宋体" w:cs="宋体"/>
      <w:color w:val="000000"/>
      <w:sz w:val="24"/>
      <w:szCs w:val="24"/>
      <w:u w:val="none"/>
    </w:rPr>
  </w:style>
  <w:style w:type="character" w:customStyle="1" w:styleId="23">
    <w:name w:val="font112"/>
    <w:basedOn w:val="11"/>
    <w:qFormat/>
    <w:uiPriority w:val="0"/>
    <w:rPr>
      <w:rFonts w:ascii="Microsoft YaHei UI" w:hAnsi="Microsoft YaHei UI" w:eastAsia="Microsoft YaHei UI" w:cs="Microsoft YaHei UI"/>
      <w:b/>
      <w:bCs/>
      <w:color w:val="000000"/>
      <w:sz w:val="18"/>
      <w:szCs w:val="18"/>
      <w:u w:val="none"/>
    </w:rPr>
  </w:style>
  <w:style w:type="character" w:customStyle="1" w:styleId="24">
    <w:name w:val="font71"/>
    <w:basedOn w:val="11"/>
    <w:qFormat/>
    <w:uiPriority w:val="0"/>
    <w:rPr>
      <w:rFonts w:hint="eastAsia" w:ascii="方正仿宋简体" w:hAnsi="方正仿宋简体" w:eastAsia="方正仿宋简体" w:cs="方正仿宋简体"/>
      <w:b/>
      <w:bCs/>
      <w:color w:val="000000"/>
      <w:sz w:val="18"/>
      <w:szCs w:val="18"/>
      <w:u w:val="none"/>
    </w:rPr>
  </w:style>
  <w:style w:type="character" w:customStyle="1" w:styleId="25">
    <w:name w:val="font61"/>
    <w:basedOn w:val="11"/>
    <w:qFormat/>
    <w:uiPriority w:val="0"/>
    <w:rPr>
      <w:rFonts w:hint="eastAsia" w:ascii="方正仿宋简体" w:hAnsi="方正仿宋简体" w:eastAsia="方正仿宋简体" w:cs="方正仿宋简体"/>
      <w:color w:val="000000"/>
      <w:sz w:val="18"/>
      <w:szCs w:val="18"/>
      <w:u w:val="none"/>
    </w:rPr>
  </w:style>
  <w:style w:type="paragraph" w:styleId="26">
    <w:name w:val="List Paragraph"/>
    <w:basedOn w:val="1"/>
    <w:autoRedefine/>
    <w:qFormat/>
    <w:uiPriority w:val="34"/>
    <w:pPr>
      <w:ind w:firstLine="420" w:firstLineChars="200"/>
    </w:pPr>
  </w:style>
  <w:style w:type="paragraph" w:customStyle="1" w:styleId="27">
    <w:name w:val="Body Text First Indent 21"/>
    <w:basedOn w:val="28"/>
    <w:qFormat/>
    <w:uiPriority w:val="0"/>
    <w:pPr>
      <w:ind w:firstLine="420" w:firstLineChars="200"/>
    </w:pPr>
    <w:rPr>
      <w:rFonts w:ascii="Times New Roman" w:hAnsi="Times New Roman" w:eastAsia="宋体" w:cs="Times New Roman"/>
    </w:rPr>
  </w:style>
  <w:style w:type="paragraph" w:customStyle="1" w:styleId="28">
    <w:name w:val="Body Text Indent1"/>
    <w:basedOn w:val="29"/>
    <w:qFormat/>
    <w:uiPriority w:val="0"/>
    <w:pPr>
      <w:ind w:left="420" w:leftChars="200"/>
    </w:pPr>
    <w:rPr>
      <w:rFonts w:ascii="Times New Roman" w:hAnsi="Times New Roman" w:eastAsia="宋体" w:cs="Times New Roman"/>
    </w:rPr>
  </w:style>
  <w:style w:type="paragraph" w:customStyle="1" w:styleId="29">
    <w:name w:val="正文 New"/>
    <w:next w:val="27"/>
    <w:qFormat/>
    <w:uiPriority w:val="0"/>
    <w:pPr>
      <w:widowControl w:val="0"/>
      <w:suppressAutoHyphens/>
      <w:jc w:val="both"/>
    </w:pPr>
    <w:rPr>
      <w:rFonts w:ascii="Calibri" w:hAnsi="Calibri" w:eastAsia="宋体" w:cs="Times New Roman"/>
      <w:kern w:val="2"/>
      <w:sz w:val="21"/>
      <w:szCs w:val="24"/>
      <w:lang w:val="en-US" w:eastAsia="zh-CN" w:bidi="ar-SA"/>
    </w:rPr>
  </w:style>
  <w:style w:type="character" w:customStyle="1" w:styleId="30">
    <w:name w:val="font21"/>
    <w:basedOn w:val="11"/>
    <w:uiPriority w:val="0"/>
    <w:rPr>
      <w:rFonts w:ascii="MingLiU" w:hAnsi="MingLiU" w:eastAsia="MingLiU" w:cs="MingLiU"/>
      <w:color w:val="000000"/>
      <w:sz w:val="28"/>
      <w:szCs w:val="28"/>
      <w:u w:val="none"/>
    </w:rPr>
  </w:style>
  <w:style w:type="character" w:customStyle="1" w:styleId="31">
    <w:name w:val="font121"/>
    <w:basedOn w:val="11"/>
    <w:qFormat/>
    <w:uiPriority w:val="0"/>
    <w:rPr>
      <w:rFonts w:hint="eastAsia" w:ascii="宋体" w:hAnsi="宋体" w:eastAsia="宋体" w:cs="宋体"/>
      <w:color w:val="000000"/>
      <w:sz w:val="20"/>
      <w:szCs w:val="20"/>
      <w:u w:val="none"/>
    </w:rPr>
  </w:style>
  <w:style w:type="character" w:customStyle="1" w:styleId="32">
    <w:name w:val="font51"/>
    <w:basedOn w:val="11"/>
    <w:qFormat/>
    <w:uiPriority w:val="0"/>
    <w:rPr>
      <w:rFonts w:hint="eastAsia" w:ascii="宋体" w:hAnsi="宋体" w:eastAsia="宋体" w:cs="宋体"/>
      <w:color w:val="000000"/>
      <w:sz w:val="18"/>
      <w:szCs w:val="18"/>
      <w:u w:val="none"/>
    </w:rPr>
  </w:style>
  <w:style w:type="character" w:customStyle="1" w:styleId="33">
    <w:name w:val="font131"/>
    <w:basedOn w:val="11"/>
    <w:uiPriority w:val="0"/>
    <w:rPr>
      <w:rFonts w:hint="eastAsia" w:ascii="宋体" w:hAnsi="宋体" w:eastAsia="宋体" w:cs="宋体"/>
      <w:color w:val="000000"/>
      <w:sz w:val="18"/>
      <w:szCs w:val="18"/>
      <w:u w:val="none"/>
    </w:rPr>
  </w:style>
  <w:style w:type="character" w:customStyle="1" w:styleId="34">
    <w:name w:val="font14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10391</Words>
  <Characters>11748</Characters>
  <Lines>63</Lines>
  <Paragraphs>17</Paragraphs>
  <TotalTime>6</TotalTime>
  <ScaleCrop>false</ScaleCrop>
  <LinksUpToDate>false</LinksUpToDate>
  <CharactersWithSpaces>11822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2025-09-29T03:02:00Z</dcterms:created>
  <dc:creator>uos</dc:creator>
  <cp:lastModifiedBy>ལས་མེད་སྟོང་བསམ།</cp:lastModifiedBy>
  <cp:lastPrinted>2025-09-30T03:16:00Z</cp:lastPrinted>
  <dcterms:modified xsi:type="dcterms:W3CDTF">2025-09-30T07:32:26Z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03AE7F14E2DC4BACB053764200FF950D_13</vt:lpwstr>
  </property>
  <property fmtid="{D5CDD505-2E9C-101B-9397-08002B2CF9AE}" pid="4" name="KSOTemplateDocerSaveRecord">
    <vt:lpwstr>eyJoZGlkIjoiZWUzZWU3ODI0NTZhMGEwZGVlZDJlNmI4YWE5MWNiNWMiLCJ1c2VySWQiOiIxMDE3NDUyMDUwIn0=</vt:lpwstr>
  </property>
</Properties>
</file>