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色尼区财政局机关2024年度部门决算公开报告</w:t>
      </w:r>
    </w:p>
    <w:p>
      <w:pPr>
        <w:spacing w:line="578" w:lineRule="exact"/>
        <w:jc w:val="center"/>
        <w:rPr>
          <w:rFonts w:hint="eastAsia" w:ascii="黑体" w:hAnsi="ˎ̥" w:eastAsia="黑体"/>
          <w:b/>
          <w:sz w:val="32"/>
          <w:szCs w:val="32"/>
        </w:rPr>
      </w:pP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pPr>
        <w:pStyle w:val="15"/>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pPr>
        <w:spacing w:line="578" w:lineRule="exact"/>
        <w:jc w:val="both"/>
        <w:rPr>
          <w:rFonts w:hint="eastAsia" w:ascii="黑体" w:hAnsi="ˎ̥" w:eastAsia="黑体"/>
          <w:sz w:val="32"/>
          <w:szCs w:val="32"/>
        </w:rPr>
      </w:pPr>
      <w:bookmarkStart w:id="2" w:name="_Toc10049_WPSOffice_Level1"/>
      <w:bookmarkStart w:id="3" w:name="_Toc10720_WPSOffice_Level1"/>
      <w:bookmarkStart w:id="4" w:name="_Toc1704_WPSOffice_Level1"/>
      <w:bookmarkStart w:id="5" w:name="_Toc22941_WPSOffice_Level1"/>
      <w:bookmarkStart w:id="6" w:name="_Toc32433_WPSOffice_Level1"/>
      <w:bookmarkStart w:id="7" w:name="_Toc23465_WPSOffice_Level1"/>
      <w:bookmarkStart w:id="8" w:name="_Toc24238_WPSOffice_Level2"/>
      <w:bookmarkStart w:id="9" w:name="_Toc20274_WPSOffice_Level2"/>
      <w:bookmarkStart w:id="10" w:name="_Toc32622_WPSOffice_Level2"/>
      <w:bookmarkStart w:id="11" w:name="_Toc20205_WPSOffice_Level2"/>
      <w:bookmarkStart w:id="12" w:name="_Toc14159_WPSOffice_Level2"/>
      <w:bookmarkStart w:id="13" w:name="_Toc26580_WPSOffice_Level2"/>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pPr>
        <w:spacing w:line="578" w:lineRule="exact"/>
        <w:ind w:firstLine="640" w:firstLineChars="200"/>
        <w:rPr>
          <w:rFonts w:hint="eastAsia" w:ascii="楷体" w:hAnsi="楷体" w:eastAsia="楷体" w:cs="楷体"/>
          <w:sz w:val="32"/>
          <w:szCs w:val="32"/>
        </w:rPr>
      </w:pPr>
    </w:p>
    <w:p>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pPr>
        <w:numPr>
          <w:ilvl w:val="0"/>
          <w:numId w:val="0"/>
        </w:num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色尼区财政局（国有资产监督管理委员会）是区人民政府工作部门，为正科级。区财政局加挂区政府国有资产监督管理委员会牌子。负责贯彻落实党中央关于财经工作和国有资产监督管理工作的方针政策及自治区党委、市委、区委的工作要去，把坚持党对财经工作和国有资产监督管理工作的领导落实到履行职责过程中，深化财税体制改革，防范化解地方政府债务风险，聚焦“四件大事”聚力“四个创建”，紧扣“四个示范市”战略任务，强化重点领域财政支持保障，加大财政资源统筹力度，深化国有企业改革，激发企业发展内生动力和活力，提升国有企业发展质量，推动高原经济高质量发展。其主要职责包括：拟定全区财税发展战略、规划、政策和改革方案并组织实施；配合自治区、市起草财政、财务、会计等地方性法规和规章，拟订符合色尼区实际的贯彻的贯彻落实意见和实施细则并监督执行；负责区本级各项财政收支管理；按分工负责政府非税收入管理；组织制定国库管理制度、国库集中收付制度，指导和监督全区国库业务；负责地方政府债务管理；牵头编制国有资产管理情况报告；负责审核并汇总编制全区国有资本经营预决算草案；贯彻执行社会保险政策，负责审核汇总编制全区社会保险基金预决算草案，会同有关部门拟订执行深化保险资金（基金）财政补助政策和财务管理制度，管理社会保险资金（基金）收支工作；负责管理和监督区本级财政的经济发展支出、政府性投资项目的财政拨款，参与拟订区基建投资有关政策，制定基建财务管理制度；会同有关部门拟订国有土地、矿产等国有资源收入政策，参与国有土地、矿产等国有资源使用政策的研究和制度改革；负责管理全区会计工作，监督和规范会计行为，组织实施国家统一的会计制度，指导和管理注册会计师、会计师事务所、代理记账行业的业务，指导和管理社会审计；监督财税法规政策的执行情况、预算管理工作，监测财政运行等情况，反应财政收支管理中的重大问题，提出加强财政管理的政策建议，依法依规处理财政违法违规行为；贯彻执行国有资产监督管理相关法律法规；根据区人民政府授权，依法履行出资人职责，以管资本为主加强国有资产监管，依法落实企业法人财产权和经营自主权，承担监督所监管企业国有资产保值增值的责任；坚持把党的领导融入企业治理各环节，指导全区国有企业、中央和区属企业驻色尼区机构党建工作，推动党建工作和生产经营深度融合；按照国家产业发展总体部署和自治区产业发展规范及市、区产业发展思路，指导推进国有企业战略性重组和专业化整合，建设现代化产业体系，统筹推动国有经济布局优化和结构调整；分类指导推进国有企业改革，推进中国特色国有企业现代公司治理；会同其他股东制定、修改所监管企业章程，审议董事会报告；按照管理权限和法定程序，负责或协助相关部门对所监管企业领导人员进行任免、考核、奖惩、建立符合社会主义市场经济体制和现代企业制度要求的选人用人机制，完善经营者激励和约束制度；组织所监管企业上交国有资本收益，参与制定国有资本经营预算有关管理制度和办法，提出所监管企业年度国有资本经营预算建议并监督执行；负责监督检查所监管企业贯彻落实有关法律、法规、规章和规范性文件的情况、企业领导人员履职情况、“三重一大”事项等；承担统筹协调区域内金融相关工作，做好属地金融风险防范和处置的协调、督促、落实，加强与上级金融管理部门的沟通联系，营造健康优质的金融环境；按照出资人职责，指导督促所监管企业的安全生产监管和应急处置工作；承担中共色尼区委员会财经委员会日常工作；完成区委、区政府交办的其他事项；</w:t>
      </w:r>
    </w:p>
    <w:p>
      <w:pPr>
        <w:spacing w:line="578" w:lineRule="exact"/>
        <w:ind w:firstLine="640" w:firstLineChars="200"/>
        <w:rPr>
          <w:rFonts w:hint="eastAsia" w:ascii="黑体" w:hAnsi="黑体" w:eastAsia="黑体" w:cs="黑体"/>
          <w:sz w:val="32"/>
          <w:szCs w:val="32"/>
        </w:rPr>
      </w:pPr>
    </w:p>
    <w:p>
      <w:pPr>
        <w:spacing w:line="578" w:lineRule="exact"/>
        <w:ind w:firstLine="640" w:firstLineChars="200"/>
        <w:rPr>
          <w:rFonts w:hint="eastAsia" w:ascii="黑体" w:hAnsi="黑体" w:eastAsia="黑体" w:cs="黑体"/>
          <w:sz w:val="32"/>
          <w:szCs w:val="32"/>
        </w:rPr>
      </w:pPr>
      <w:bookmarkStart w:id="14" w:name="_Toc4833_WPSOffice_Level2"/>
      <w:bookmarkStart w:id="15" w:name="_Toc24059_WPSOffice_Level2"/>
      <w:bookmarkStart w:id="16" w:name="_Toc24474_WPSOffice_Level2"/>
      <w:bookmarkStart w:id="17" w:name="_Toc6572_WPSOffice_Level2"/>
      <w:bookmarkStart w:id="18" w:name="_Toc17796_WPSOffice_Level2"/>
      <w:r>
        <w:rPr>
          <w:rFonts w:hint="eastAsia" w:ascii="黑体" w:hAnsi="黑体" w:eastAsia="黑体" w:cs="黑体"/>
          <w:sz w:val="32"/>
          <w:szCs w:val="32"/>
        </w:rPr>
        <w:t>二、机构设置</w:t>
      </w:r>
      <w:bookmarkEnd w:id="14"/>
      <w:bookmarkEnd w:id="15"/>
      <w:bookmarkEnd w:id="16"/>
      <w:bookmarkEnd w:id="17"/>
      <w:bookmarkEnd w:id="18"/>
    </w:p>
    <w:p>
      <w:pPr>
        <w:spacing w:line="578" w:lineRule="exact"/>
        <w:ind w:firstLine="640" w:firstLineChars="200"/>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纳入</w:t>
      </w:r>
      <w:r>
        <w:rPr>
          <w:rFonts w:hint="eastAsia" w:ascii="仿宋_GB2312" w:hAnsi="ˎ̥" w:eastAsia="仿宋_GB2312"/>
          <w:b w:val="0"/>
          <w:bCs w:val="0"/>
          <w:color w:val="000000" w:themeColor="text1"/>
          <w:sz w:val="32"/>
          <w:szCs w:val="32"/>
          <w:lang w:val="en-US" w:eastAsia="zh-CN"/>
          <w14:textFill>
            <w14:solidFill>
              <w14:schemeClr w14:val="tx1"/>
            </w14:solidFill>
          </w14:textFill>
        </w:rPr>
        <w:t>色尼区财政局</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年度部门决算编制范围的单位共</w:t>
      </w:r>
      <w:r>
        <w:rPr>
          <w:rFonts w:hint="eastAsia" w:ascii="仿宋_GB2312" w:hAnsi="ˎ̥" w:eastAsia="仿宋_GB2312"/>
          <w:color w:val="000000" w:themeColor="text1"/>
          <w:sz w:val="32"/>
          <w:szCs w:val="32"/>
          <w:lang w:val="en-US" w:eastAsia="zh-CN"/>
          <w14:textFill>
            <w14:solidFill>
              <w14:schemeClr w14:val="tx1"/>
            </w14:solidFill>
          </w14:textFill>
        </w:rPr>
        <w:t>1</w:t>
      </w:r>
      <w:r>
        <w:rPr>
          <w:rFonts w:hint="eastAsia" w:ascii="仿宋_GB2312" w:hAnsi="ˎ̥" w:eastAsia="仿宋_GB2312"/>
          <w:color w:val="000000" w:themeColor="text1"/>
          <w:sz w:val="32"/>
          <w:szCs w:val="32"/>
          <w14:textFill>
            <w14:solidFill>
              <w14:schemeClr w14:val="tx1"/>
            </w14:solidFill>
          </w14:textFill>
        </w:rPr>
        <w:t>个，包括：</w:t>
      </w:r>
    </w:p>
    <w:p>
      <w:pPr>
        <w:numPr>
          <w:ilvl w:val="0"/>
          <w:numId w:val="3"/>
        </w:numPr>
        <w:spacing w:line="578" w:lineRule="exact"/>
        <w:rPr>
          <w:rFonts w:hint="eastAsia" w:ascii="方正楷体_GBK" w:hAnsi="方正楷体_GBK" w:eastAsia="方正楷体_GBK" w:cs="方正楷体_GBK"/>
          <w:color w:val="000000" w:themeColor="text1"/>
          <w:sz w:val="32"/>
          <w:szCs w:val="32"/>
          <w14:textFill>
            <w14:solidFill>
              <w14:schemeClr w14:val="tx1"/>
            </w14:solidFill>
          </w14:textFill>
        </w:rPr>
      </w:pPr>
      <w:bookmarkStart w:id="19" w:name="_Toc25738_WPSOffice_Level2"/>
      <w:bookmarkStart w:id="20" w:name="_Toc24421_WPSOffice_Level2"/>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色尼区财政局</w:t>
      </w:r>
      <w:r>
        <w:rPr>
          <w:rFonts w:hint="eastAsia" w:ascii="方正楷体_GBK" w:hAnsi="方正楷体_GBK" w:eastAsia="方正楷体_GBK" w:cs="方正楷体_GBK"/>
          <w:color w:val="000000" w:themeColor="text1"/>
          <w:sz w:val="32"/>
          <w:szCs w:val="32"/>
          <w14:textFill>
            <w14:solidFill>
              <w14:schemeClr w14:val="tx1"/>
            </w14:solidFill>
          </w14:textFill>
        </w:rPr>
        <w:t>部门本级</w:t>
      </w:r>
      <w:bookmarkEnd w:id="19"/>
      <w:bookmarkEnd w:id="20"/>
    </w:p>
    <w:p>
      <w:pPr>
        <w:numPr>
          <w:ilvl w:val="0"/>
          <w:numId w:val="0"/>
        </w:numPr>
        <w:spacing w:line="578" w:lineRule="exact"/>
        <w:ind w:firstLine="640" w:firstLineChars="200"/>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lang w:val="en-US" w:eastAsia="zh-CN"/>
          <w14:textFill>
            <w14:solidFill>
              <w14:schemeClr w14:val="tx1"/>
            </w14:solidFill>
          </w14:textFill>
        </w:rPr>
        <w:t>色尼区财政局（国有资产监督管理委员会）是区人民政府工作部门，为正科级。区财政局加挂区政府国有资产监督管理委员会牌子。</w:t>
      </w:r>
    </w:p>
    <w:p>
      <w:pPr>
        <w:numPr>
          <w:ilvl w:val="0"/>
          <w:numId w:val="3"/>
        </w:numPr>
        <w:spacing w:line="578" w:lineRule="exact"/>
        <w:ind w:left="0" w:leftChars="0" w:firstLine="0" w:firstLineChars="0"/>
        <w:rPr>
          <w:rFonts w:hint="eastAsia" w:ascii="方正楷体_GBK" w:hAnsi="方正楷体_GBK" w:eastAsia="方正楷体_GBK" w:cs="方正楷体_GBK"/>
          <w:color w:val="000000" w:themeColor="text1"/>
          <w:sz w:val="32"/>
          <w:szCs w:val="32"/>
          <w14:textFill>
            <w14:solidFill>
              <w14:schemeClr w14:val="tx1"/>
            </w14:solidFill>
          </w14:textFill>
        </w:rPr>
      </w:pPr>
      <w:bookmarkStart w:id="21" w:name="_Toc4442_WPSOffice_Level2"/>
      <w:bookmarkStart w:id="22" w:name="_Toc19721_WPSOffice_Level2"/>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色尼区财政局</w:t>
      </w:r>
      <w:r>
        <w:rPr>
          <w:rFonts w:hint="eastAsia" w:ascii="方正楷体_GBK" w:hAnsi="方正楷体_GBK" w:eastAsia="方正楷体_GBK" w:cs="方正楷体_GBK"/>
          <w:color w:val="000000" w:themeColor="text1"/>
          <w:sz w:val="32"/>
          <w:szCs w:val="32"/>
          <w14:textFill>
            <w14:solidFill>
              <w14:schemeClr w14:val="tx1"/>
            </w14:solidFill>
          </w14:textFill>
        </w:rPr>
        <w:t>下属单位</w:t>
      </w:r>
      <w:bookmarkEnd w:id="21"/>
      <w:bookmarkEnd w:id="22"/>
    </w:p>
    <w:p>
      <w:pPr>
        <w:numPr>
          <w:ilvl w:val="0"/>
          <w:numId w:val="0"/>
        </w:numPr>
        <w:spacing w:line="578" w:lineRule="exact"/>
        <w:ind w:leftChars="0"/>
        <w:rPr>
          <w:rFonts w:hint="eastAsia" w:ascii="仿宋_GB2312" w:hAnsi="ˎ̥" w:eastAsia="仿宋_GB2312"/>
          <w:sz w:val="32"/>
          <w:szCs w:val="32"/>
        </w:rPr>
      </w:pP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eastAsia="zh-CN"/>
          <w14:textFill>
            <w14:solidFill>
              <w14:schemeClr w14:val="tx1"/>
            </w14:solidFill>
          </w14:textFill>
        </w:rPr>
        <w:t>色尼区财政局除了加挂牌</w:t>
      </w:r>
      <w:r>
        <w:rPr>
          <w:rFonts w:hint="eastAsia" w:ascii="仿宋_GB2312" w:hAnsi="ˎ̥" w:eastAsia="仿宋_GB2312"/>
          <w:sz w:val="32"/>
          <w:szCs w:val="32"/>
          <w:lang w:eastAsia="zh-CN"/>
        </w:rPr>
        <w:t>子的区政府国有资产监督管理委员会以外，无下属单位</w:t>
      </w:r>
      <w:r>
        <w:rPr>
          <w:rFonts w:hint="eastAsia" w:ascii="仿宋_GB2312" w:hAnsi="ˎ̥" w:eastAsia="仿宋_GB2312"/>
          <w:sz w:val="32"/>
          <w:szCs w:val="32"/>
        </w:rPr>
        <w:t>。）</w:t>
      </w:r>
    </w:p>
    <w:p>
      <w:pPr>
        <w:spacing w:line="578" w:lineRule="exact"/>
        <w:ind w:firstLine="640" w:firstLineChars="200"/>
        <w:rPr>
          <w:rFonts w:hint="eastAsia" w:ascii="方正楷体_GBK" w:hAnsi="方正楷体_GBK" w:eastAsia="方正楷体_GBK" w:cs="方正楷体_GBK"/>
          <w:sz w:val="32"/>
          <w:szCs w:val="32"/>
        </w:rPr>
      </w:pPr>
    </w:p>
    <w:p>
      <w:pPr>
        <w:spacing w:line="578" w:lineRule="exact"/>
        <w:jc w:val="center"/>
        <w:rPr>
          <w:rFonts w:hint="eastAsia" w:ascii="黑体" w:hAnsi="ˎ̥" w:eastAsia="黑体"/>
          <w:sz w:val="32"/>
          <w:szCs w:val="32"/>
        </w:rPr>
      </w:pPr>
      <w:bookmarkStart w:id="23" w:name="_Toc6234_WPSOffice_Level1"/>
      <w:bookmarkStart w:id="24" w:name="_Toc30690_WPSOffice_Level1"/>
      <w:bookmarkStart w:id="25" w:name="_Toc8164_WPSOffice_Level1"/>
      <w:bookmarkStart w:id="26" w:name="_Toc15521_WPSOffice_Level1"/>
      <w:bookmarkStart w:id="27" w:name="_Toc30451_WPSOffice_Level1"/>
      <w:bookmarkStart w:id="28" w:name="_Toc28253_WPSOffice_Level1"/>
      <w:bookmarkStart w:id="29" w:name="_Toc6211_WPSOffice_Level2"/>
      <w:bookmarkStart w:id="30" w:name="_Toc8867_WPSOffice_Level2"/>
      <w:bookmarkStart w:id="31" w:name="_Toc11518_WPSOffice_Level2"/>
      <w:bookmarkStart w:id="32" w:name="_Toc32472_WPSOffice_Level2"/>
      <w:bookmarkStart w:id="33" w:name="_Toc4029_WPSOffice_Level2"/>
      <w:bookmarkStart w:id="34" w:name="_Toc32695_WPSOffice_Level2"/>
    </w:p>
    <w:p>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23"/>
      <w:bookmarkEnd w:id="24"/>
      <w:bookmarkEnd w:id="25"/>
      <w:bookmarkEnd w:id="26"/>
      <w:bookmarkEnd w:id="27"/>
      <w:bookmarkEnd w:id="28"/>
    </w:p>
    <w:p>
      <w:pPr>
        <w:spacing w:line="578" w:lineRule="exact"/>
        <w:ind w:firstLine="645"/>
        <w:rPr>
          <w:rFonts w:hint="eastAsia" w:ascii="黑体" w:hAnsi="黑体" w:eastAsia="黑体" w:cs="黑体"/>
          <w:sz w:val="32"/>
          <w:szCs w:val="32"/>
        </w:rPr>
      </w:pPr>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9"/>
      <w:bookmarkEnd w:id="30"/>
      <w:bookmarkEnd w:id="31"/>
      <w:bookmarkEnd w:id="32"/>
      <w:bookmarkEnd w:id="33"/>
      <w:bookmarkEnd w:id="34"/>
    </w:p>
    <w:p>
      <w:pPr>
        <w:spacing w:line="578" w:lineRule="exact"/>
        <w:ind w:firstLine="645"/>
        <w:rPr>
          <w:rFonts w:hint="eastAsia" w:ascii="黑体" w:hAnsi="黑体" w:eastAsia="黑体" w:cs="黑体"/>
          <w:sz w:val="32"/>
          <w:szCs w:val="32"/>
        </w:rPr>
      </w:pPr>
      <w:bookmarkStart w:id="35" w:name="_Toc30334_WPSOffice_Level2"/>
      <w:bookmarkStart w:id="36" w:name="_Toc26621_WPSOffice_Level2"/>
      <w:bookmarkStart w:id="37" w:name="_Toc28622_WPSOffice_Level2"/>
      <w:bookmarkStart w:id="38" w:name="_Toc23139_WPSOffice_Level2"/>
      <w:bookmarkStart w:id="39" w:name="_Toc14349_WPSOffice_Level2"/>
      <w:bookmarkStart w:id="40" w:name="_Toc25608_WPSOffice_Level2"/>
      <w:r>
        <w:rPr>
          <w:rFonts w:hint="eastAsia" w:ascii="黑体" w:hAnsi="黑体" w:eastAsia="黑体" w:cs="黑体"/>
          <w:sz w:val="32"/>
          <w:szCs w:val="32"/>
        </w:rPr>
        <w:t>二、收入决算公开表</w:t>
      </w:r>
      <w:bookmarkEnd w:id="35"/>
      <w:bookmarkEnd w:id="36"/>
      <w:bookmarkEnd w:id="37"/>
      <w:bookmarkEnd w:id="38"/>
      <w:bookmarkEnd w:id="39"/>
      <w:bookmarkEnd w:id="40"/>
      <w:bookmarkStart w:id="41" w:name="_Toc17626_WPSOffice_Level2"/>
      <w:bookmarkStart w:id="42" w:name="_Toc14658_WPSOffice_Level2"/>
      <w:bookmarkStart w:id="43" w:name="_Toc3262_WPSOffice_Level2"/>
      <w:bookmarkStart w:id="44" w:name="_Toc13854_WPSOffice_Level2"/>
      <w:bookmarkStart w:id="45" w:name="_Toc17858_WPSOffice_Level2"/>
      <w:bookmarkStart w:id="46" w:name="_Toc5489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41"/>
      <w:bookmarkEnd w:id="42"/>
      <w:bookmarkEnd w:id="43"/>
      <w:bookmarkEnd w:id="44"/>
      <w:bookmarkEnd w:id="45"/>
      <w:bookmarkEnd w:id="46"/>
      <w:bookmarkStart w:id="47" w:name="_Toc23591_WPSOffice_Level2"/>
      <w:bookmarkStart w:id="48" w:name="_Toc23493_WPSOffice_Level2"/>
      <w:bookmarkStart w:id="49" w:name="_Toc4265_WPSOffice_Level2"/>
      <w:bookmarkStart w:id="50" w:name="_Toc13701_WPSOffice_Level2"/>
      <w:bookmarkStart w:id="51" w:name="_Toc7988_WPSOffice_Level2"/>
      <w:bookmarkStart w:id="52" w:name="_Toc21415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7"/>
      <w:bookmarkEnd w:id="48"/>
      <w:bookmarkEnd w:id="49"/>
      <w:bookmarkEnd w:id="50"/>
      <w:bookmarkEnd w:id="51"/>
      <w:bookmarkEnd w:id="52"/>
    </w:p>
    <w:p>
      <w:pPr>
        <w:spacing w:line="578" w:lineRule="exact"/>
        <w:ind w:firstLine="645"/>
        <w:rPr>
          <w:rFonts w:hint="eastAsia" w:ascii="黑体" w:hAnsi="黑体" w:eastAsia="黑体" w:cs="黑体"/>
          <w:sz w:val="32"/>
          <w:szCs w:val="32"/>
        </w:rPr>
      </w:pPr>
      <w:bookmarkStart w:id="53" w:name="_Toc25166_WPSOffice_Level2"/>
      <w:bookmarkStart w:id="54" w:name="_Toc23829_WPSOffice_Level2"/>
      <w:bookmarkStart w:id="55" w:name="_Toc22783_WPSOffice_Level2"/>
      <w:bookmarkStart w:id="56" w:name="_Toc7879_WPSOffice_Level2"/>
      <w:bookmarkStart w:id="57" w:name="_Toc13516_WPSOffice_Level2"/>
      <w:bookmarkStart w:id="58" w:name="_Toc2158_WPSOffice_Level2"/>
      <w:r>
        <w:rPr>
          <w:rFonts w:hint="eastAsia" w:ascii="黑体" w:hAnsi="黑体" w:eastAsia="黑体" w:cs="黑体"/>
          <w:sz w:val="32"/>
          <w:szCs w:val="32"/>
        </w:rPr>
        <w:t>五、一般公共预算财政拨款收入支出决算</w:t>
      </w:r>
      <w:bookmarkEnd w:id="53"/>
      <w:bookmarkEnd w:id="54"/>
      <w:bookmarkEnd w:id="55"/>
      <w:bookmarkEnd w:id="56"/>
      <w:r>
        <w:rPr>
          <w:rFonts w:hint="eastAsia" w:ascii="黑体" w:hAnsi="黑体" w:eastAsia="黑体" w:cs="黑体"/>
          <w:sz w:val="32"/>
          <w:szCs w:val="32"/>
        </w:rPr>
        <w:t>公开表</w:t>
      </w:r>
      <w:bookmarkEnd w:id="57"/>
      <w:bookmarkEnd w:id="58"/>
      <w:bookmarkStart w:id="59" w:name="_Toc17283_WPSOffice_Level2"/>
      <w:bookmarkStart w:id="60" w:name="_Toc8373_WPSOffice_Level2"/>
      <w:bookmarkStart w:id="61" w:name="_Toc2632_WPSOffice_Level2"/>
      <w:bookmarkStart w:id="62" w:name="_Toc17833_WPSOffice_Level2"/>
      <w:bookmarkStart w:id="63" w:name="_Toc5343_WPSOffice_Level2"/>
      <w:bookmarkStart w:id="64" w:name="_Toc25362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9"/>
      <w:bookmarkEnd w:id="60"/>
      <w:bookmarkEnd w:id="61"/>
      <w:bookmarkEnd w:id="62"/>
      <w:bookmarkEnd w:id="63"/>
      <w:bookmarkEnd w:id="64"/>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bookmarkStart w:id="65" w:name="_Toc13345_WPSOffice_Level2"/>
      <w:bookmarkStart w:id="66" w:name="_Toc21310_WPSOffice_Level2"/>
      <w:bookmarkStart w:id="67" w:name="_Toc1533_WPSOffice_Level2"/>
      <w:bookmarkStart w:id="68" w:name="_Toc11799_WPSOffice_Level2"/>
      <w:bookmarkStart w:id="69" w:name="_Toc5594_WPSOffice_Level2"/>
      <w:bookmarkStart w:id="70" w:name="_Toc6020_WPSOffice_Level2"/>
      <w:r>
        <w:rPr>
          <w:rFonts w:hint="eastAsia" w:ascii="黑体" w:hAnsi="黑体" w:eastAsia="黑体" w:cs="黑体"/>
          <w:sz w:val="32"/>
          <w:szCs w:val="32"/>
        </w:rPr>
        <w:t>七、政府性基金预算财政拨款收入支出决算</w:t>
      </w:r>
      <w:bookmarkEnd w:id="65"/>
      <w:bookmarkEnd w:id="66"/>
      <w:bookmarkEnd w:id="67"/>
      <w:bookmarkEnd w:id="68"/>
      <w:bookmarkEnd w:id="69"/>
      <w:bookmarkEnd w:id="70"/>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hint="eastAsia" w:ascii="黑体" w:hAnsi="黑体" w:eastAsia="黑体" w:cs="黑体"/>
          <w:sz w:val="32"/>
          <w:szCs w:val="32"/>
        </w:rPr>
      </w:pPr>
      <w:bookmarkStart w:id="71" w:name="_Toc19961_WPSOffice_Level2"/>
      <w:bookmarkStart w:id="72" w:name="_Toc9377_WPSOffice_Level2"/>
      <w:bookmarkStart w:id="73" w:name="_Toc29886_WPSOffice_Level2"/>
      <w:bookmarkStart w:id="74" w:name="_Toc1820_WPSOffice_Level2"/>
      <w:r>
        <w:rPr>
          <w:rFonts w:hint="eastAsia" w:ascii="黑体" w:hAnsi="黑体" w:eastAsia="黑体" w:cs="黑体"/>
          <w:sz w:val="32"/>
          <w:szCs w:val="32"/>
        </w:rPr>
        <w:t>九、财政拨款“三公”经费支出决算</w:t>
      </w:r>
      <w:bookmarkEnd w:id="71"/>
      <w:bookmarkEnd w:id="72"/>
      <w:bookmarkEnd w:id="73"/>
      <w:bookmarkEnd w:id="74"/>
      <w:r>
        <w:rPr>
          <w:rFonts w:hint="eastAsia" w:ascii="黑体" w:hAnsi="黑体" w:eastAsia="黑体" w:cs="黑体"/>
          <w:sz w:val="32"/>
          <w:szCs w:val="32"/>
        </w:rPr>
        <w:t>公开表</w:t>
      </w:r>
    </w:p>
    <w:p>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pPr>
        <w:spacing w:line="578" w:lineRule="exact"/>
        <w:rPr>
          <w:rFonts w:hint="eastAsia" w:ascii="黑体" w:hAnsi="黑体" w:eastAsia="黑体" w:cs="黑体"/>
          <w:sz w:val="32"/>
          <w:szCs w:val="32"/>
        </w:rPr>
      </w:pPr>
    </w:p>
    <w:p>
      <w:pPr>
        <w:spacing w:line="578" w:lineRule="exact"/>
        <w:jc w:val="center"/>
        <w:rPr>
          <w:rFonts w:hint="eastAsia" w:ascii="黑体" w:hAnsi="ˎ̥" w:eastAsia="黑体"/>
          <w:sz w:val="32"/>
          <w:szCs w:val="32"/>
        </w:rPr>
      </w:pPr>
      <w:bookmarkStart w:id="75" w:name="_Toc27590_WPSOffice_Level1"/>
      <w:bookmarkStart w:id="76" w:name="_Toc4402_WPSOffice_Level1"/>
      <w:bookmarkStart w:id="77" w:name="_Toc16686_WPSOffice_Level1"/>
      <w:bookmarkStart w:id="78" w:name="_Toc28629_WPSOffice_Level1"/>
      <w:bookmarkStart w:id="79" w:name="_Toc31264_WPSOffice_Level1"/>
      <w:bookmarkStart w:id="80" w:name="_Toc29683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5"/>
      <w:bookmarkEnd w:id="76"/>
      <w:bookmarkEnd w:id="77"/>
      <w:bookmarkEnd w:id="78"/>
      <w:bookmarkEnd w:id="79"/>
      <w:bookmarkEnd w:id="80"/>
    </w:p>
    <w:p>
      <w:pPr>
        <w:spacing w:line="578" w:lineRule="exact"/>
        <w:jc w:val="center"/>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黑体" w:hAnsi="黑体" w:eastAsia="黑体" w:cs="黑体"/>
          <w:bCs/>
          <w:color w:val="000000" w:themeColor="text1"/>
          <w:sz w:val="32"/>
          <w:szCs w:val="32"/>
          <w14:textFill>
            <w14:solidFill>
              <w14:schemeClr w14:val="tx1"/>
            </w14:solidFill>
          </w14:textFill>
        </w:rPr>
        <w:t>一、收入支出总体情况说明</w:t>
      </w:r>
      <w:r>
        <w:rPr>
          <w:rFonts w:hint="eastAsia" w:ascii="黑体" w:hAnsi="黑体" w:eastAsia="黑体" w:cs="黑体"/>
          <w:bCs/>
          <w:color w:val="000000" w:themeColor="text1"/>
          <w:sz w:val="32"/>
          <w:szCs w:val="32"/>
          <w14:textFill>
            <w14:solidFill>
              <w14:schemeClr w14:val="tx1"/>
            </w14:solidFill>
          </w14:textFill>
        </w:rPr>
        <w:br w:type="textWrapping"/>
      </w:r>
      <w:r>
        <w:rPr>
          <w:rFonts w:hint="eastAsia" w:ascii="楷体_GB2312" w:hAnsi="ˎ̥" w:eastAsia="楷体_GB2312"/>
          <w:color w:val="000000" w:themeColor="text1"/>
          <w:sz w:val="32"/>
          <w:szCs w:val="32"/>
          <w14:textFill>
            <w14:solidFill>
              <w14:schemeClr w14:val="tx1"/>
            </w14:solidFill>
          </w14:textFill>
        </w:rPr>
        <w:t xml:space="preserve">    </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年度收入总计</w:t>
      </w:r>
      <w:r>
        <w:rPr>
          <w:rFonts w:hint="default" w:ascii="仿宋_GB2312" w:hAnsi="ˎ̥" w:eastAsia="仿宋_GB2312"/>
          <w:color w:val="000000" w:themeColor="text1"/>
          <w:sz w:val="32"/>
          <w:szCs w:val="32"/>
          <w:lang w:val="en-US"/>
          <w14:textFill>
            <w14:solidFill>
              <w14:schemeClr w14:val="tx1"/>
            </w14:solidFill>
          </w14:textFill>
        </w:rPr>
        <w:t>3,681.09</w:t>
      </w:r>
      <w:r>
        <w:rPr>
          <w:rFonts w:hint="eastAsia" w:ascii="仿宋_GB2312" w:hAnsi="ˎ̥" w:eastAsia="仿宋_GB2312"/>
          <w:color w:val="000000" w:themeColor="text1"/>
          <w:sz w:val="32"/>
          <w:szCs w:val="32"/>
          <w14:textFill>
            <w14:solidFill>
              <w14:schemeClr w14:val="tx1"/>
            </w14:solidFill>
          </w14:textFill>
        </w:rPr>
        <w:t>万元，支出总计</w:t>
      </w:r>
      <w:r>
        <w:rPr>
          <w:rFonts w:hint="default" w:ascii="仿宋_GB2312" w:hAnsi="ˎ̥" w:eastAsia="仿宋_GB2312"/>
          <w:color w:val="000000" w:themeColor="text1"/>
          <w:sz w:val="32"/>
          <w:szCs w:val="32"/>
          <w:lang w:val="en-US"/>
          <w14:textFill>
            <w14:solidFill>
              <w14:schemeClr w14:val="tx1"/>
            </w14:solidFill>
          </w14:textFill>
        </w:rPr>
        <w:t>3,681.09</w:t>
      </w:r>
      <w:r>
        <w:rPr>
          <w:rFonts w:hint="eastAsia" w:ascii="仿宋_GB2312" w:hAnsi="ˎ̥" w:eastAsia="仿宋_GB2312"/>
          <w:color w:val="000000" w:themeColor="text1"/>
          <w:sz w:val="32"/>
          <w:szCs w:val="32"/>
          <w14:textFill>
            <w14:solidFill>
              <w14:schemeClr w14:val="tx1"/>
            </w14:solidFill>
          </w14:textFill>
        </w:rPr>
        <w:t>万元，与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年度相比，收入、支出总计各增加</w:t>
      </w:r>
      <w:r>
        <w:rPr>
          <w:rFonts w:hint="eastAsia" w:ascii="仿宋_GB2312" w:hAnsi="ˎ̥" w:eastAsia="仿宋_GB2312"/>
          <w:color w:val="000000" w:themeColor="text1"/>
          <w:sz w:val="32"/>
          <w:szCs w:val="32"/>
          <w:lang w:val="en-US" w:eastAsia="zh-CN"/>
          <w14:textFill>
            <w14:solidFill>
              <w14:schemeClr w14:val="tx1"/>
            </w14:solidFill>
          </w14:textFill>
        </w:rPr>
        <w:t>1918.05</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108.8</w:t>
      </w:r>
      <w:r>
        <w:rPr>
          <w:rFonts w:hint="eastAsia" w:ascii="仿宋_GB2312" w:hAnsi="ˎ̥" w:eastAsia="仿宋_GB2312"/>
          <w:color w:val="000000" w:themeColor="text1"/>
          <w:sz w:val="32"/>
          <w:szCs w:val="32"/>
          <w14:textFill>
            <w14:solidFill>
              <w14:schemeClr w14:val="tx1"/>
            </w14:solidFill>
          </w14:textFill>
        </w:rPr>
        <w:t>%。主要原因：</w:t>
      </w:r>
      <w:r>
        <w:rPr>
          <w:rFonts w:hint="eastAsia" w:ascii="仿宋_GB2312" w:hAnsi="ˎ̥" w:eastAsia="仿宋_GB2312"/>
          <w:color w:val="000000" w:themeColor="text1"/>
          <w:sz w:val="32"/>
          <w:szCs w:val="32"/>
          <w:lang w:val="en-US" w:eastAsia="zh-CN"/>
          <w14:textFill>
            <w14:solidFill>
              <w14:schemeClr w14:val="tx1"/>
            </w14:solidFill>
          </w14:textFill>
        </w:rPr>
        <w:t>一是</w:t>
      </w:r>
      <w:r>
        <w:rPr>
          <w:rFonts w:hint="default" w:ascii="仿宋_GB2312" w:hAnsi="ˎ̥" w:eastAsia="仿宋_GB2312"/>
          <w:color w:val="000000" w:themeColor="text1"/>
          <w:sz w:val="32"/>
          <w:szCs w:val="32"/>
          <w:lang w:val="en-US"/>
          <w14:textFill>
            <w14:solidFill>
              <w14:schemeClr w14:val="tx1"/>
            </w14:solidFill>
          </w14:textFill>
        </w:rPr>
        <w:t>2</w:t>
      </w:r>
      <w:r>
        <w:rPr>
          <w:rFonts w:hint="eastAsia" w:ascii="仿宋_GB2312" w:hAnsi="ˎ̥" w:eastAsia="仿宋_GB2312"/>
          <w:color w:val="000000" w:themeColor="text1"/>
          <w:sz w:val="32"/>
          <w:szCs w:val="32"/>
          <w14:textFill>
            <w14:solidFill>
              <w14:schemeClr w14:val="tx1"/>
            </w14:solidFill>
          </w14:textFill>
        </w:rPr>
        <w:t>024年新增项目：政府一般债券兑现费用付息经费：1033</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01</w:t>
      </w:r>
      <w:r>
        <w:rPr>
          <w:rFonts w:hint="eastAsia" w:ascii="仿宋_GB2312" w:hAnsi="ˎ̥" w:eastAsia="仿宋_GB2312"/>
          <w:color w:val="000000" w:themeColor="text1"/>
          <w:sz w:val="32"/>
          <w:szCs w:val="32"/>
          <w:lang w:val="en-US" w:eastAsia="zh-CN"/>
          <w14:textFill>
            <w14:solidFill>
              <w14:schemeClr w14:val="tx1"/>
            </w14:solidFill>
          </w14:textFill>
        </w:rPr>
        <w:t>万</w:t>
      </w:r>
      <w:r>
        <w:rPr>
          <w:rFonts w:hint="eastAsia" w:ascii="仿宋_GB2312" w:hAnsi="ˎ̥" w:eastAsia="仿宋_GB2312"/>
          <w:color w:val="000000" w:themeColor="text1"/>
          <w:sz w:val="32"/>
          <w:szCs w:val="32"/>
          <w14:textFill>
            <w14:solidFill>
              <w14:schemeClr w14:val="tx1"/>
            </w14:solidFill>
          </w14:textFill>
        </w:rPr>
        <w:t>元，投资评审费用：135</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78</w:t>
      </w:r>
      <w:r>
        <w:rPr>
          <w:rFonts w:hint="eastAsia" w:ascii="仿宋_GB2312" w:hAnsi="ˎ̥" w:eastAsia="仿宋_GB2312"/>
          <w:color w:val="000000" w:themeColor="text1"/>
          <w:sz w:val="32"/>
          <w:szCs w:val="32"/>
          <w:lang w:val="en-US" w:eastAsia="zh-CN"/>
          <w14:textFill>
            <w14:solidFill>
              <w14:schemeClr w14:val="tx1"/>
            </w14:solidFill>
          </w14:textFill>
        </w:rPr>
        <w:t>万</w:t>
      </w:r>
      <w:r>
        <w:rPr>
          <w:rFonts w:hint="eastAsia" w:ascii="仿宋_GB2312" w:hAnsi="ˎ̥" w:eastAsia="仿宋_GB2312"/>
          <w:color w:val="000000" w:themeColor="text1"/>
          <w:sz w:val="32"/>
          <w:szCs w:val="32"/>
          <w14:textFill>
            <w14:solidFill>
              <w14:schemeClr w14:val="tx1"/>
            </w14:solidFill>
          </w14:textFill>
        </w:rPr>
        <w:t>元，税务局税源培植征管激励资金：174</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1</w:t>
      </w:r>
      <w:r>
        <w:rPr>
          <w:rFonts w:hint="eastAsia" w:ascii="仿宋_GB2312" w:hAnsi="ˎ̥" w:eastAsia="仿宋_GB2312"/>
          <w:color w:val="000000" w:themeColor="text1"/>
          <w:sz w:val="32"/>
          <w:szCs w:val="32"/>
          <w:lang w:val="en-US" w:eastAsia="zh-CN"/>
          <w14:textFill>
            <w14:solidFill>
              <w14:schemeClr w14:val="tx1"/>
            </w14:solidFill>
          </w14:textFill>
        </w:rPr>
        <w:t>万</w:t>
      </w:r>
      <w:r>
        <w:rPr>
          <w:rFonts w:hint="eastAsia" w:ascii="仿宋_GB2312" w:hAnsi="ˎ̥" w:eastAsia="仿宋_GB2312"/>
          <w:color w:val="000000" w:themeColor="text1"/>
          <w:sz w:val="32"/>
          <w:szCs w:val="32"/>
          <w14:textFill>
            <w14:solidFill>
              <w14:schemeClr w14:val="tx1"/>
            </w14:solidFill>
          </w14:textFill>
        </w:rPr>
        <w:t>元，精惠扶贫开发公司注册资金：79</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8</w:t>
      </w:r>
      <w:r>
        <w:rPr>
          <w:rFonts w:hint="eastAsia" w:ascii="仿宋_GB2312" w:hAnsi="ˎ̥" w:eastAsia="仿宋_GB2312"/>
          <w:color w:val="000000" w:themeColor="text1"/>
          <w:sz w:val="32"/>
          <w:szCs w:val="32"/>
          <w:lang w:eastAsia="zh-CN"/>
          <w14:textFill>
            <w14:solidFill>
              <w14:schemeClr w14:val="tx1"/>
            </w14:solidFill>
          </w14:textFill>
        </w:rPr>
        <w:t>万</w:t>
      </w:r>
      <w:r>
        <w:rPr>
          <w:rFonts w:hint="eastAsia" w:ascii="仿宋_GB2312" w:hAnsi="ˎ̥" w:eastAsia="仿宋_GB2312"/>
          <w:color w:val="000000" w:themeColor="text1"/>
          <w:sz w:val="32"/>
          <w:szCs w:val="32"/>
          <w14:textFill>
            <w14:solidFill>
              <w14:schemeClr w14:val="tx1"/>
            </w14:solidFill>
          </w14:textFill>
        </w:rPr>
        <w:t>元，所以项目支出增加了。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w:t>
      </w:r>
      <w:r>
        <w:rPr>
          <w:rFonts w:ascii="楷体" w:hAnsi="楷体" w:eastAsia="楷体" w:cs="楷体"/>
          <w:color w:val="000000" w:themeColor="text1"/>
          <w:sz w:val="32"/>
          <w:szCs w:val="32"/>
          <w14:textFill>
            <w14:solidFill>
              <w14:schemeClr w14:val="tx1"/>
            </w14:solidFill>
          </w14:textFill>
        </w:rPr>
        <w:t>）</w:t>
      </w:r>
      <w:r>
        <w:rPr>
          <w:rFonts w:hint="eastAsia" w:ascii="楷体" w:hAnsi="楷体" w:eastAsia="楷体" w:cs="楷体"/>
          <w:color w:val="000000" w:themeColor="text1"/>
          <w:sz w:val="32"/>
          <w:szCs w:val="32"/>
          <w14:textFill>
            <w14:solidFill>
              <w14:schemeClr w14:val="tx1"/>
            </w14:solidFill>
          </w14:textFill>
        </w:rPr>
        <w:t>收入</w:t>
      </w:r>
      <w:r>
        <w:rPr>
          <w:rFonts w:ascii="楷体" w:hAnsi="楷体" w:eastAsia="楷体" w:cs="楷体"/>
          <w:color w:val="000000" w:themeColor="text1"/>
          <w:sz w:val="32"/>
          <w:szCs w:val="32"/>
          <w14:textFill>
            <w14:solidFill>
              <w14:schemeClr w14:val="tx1"/>
            </w14:solidFill>
          </w14:textFill>
        </w:rPr>
        <w:t>总计</w:t>
      </w:r>
      <w:r>
        <w:rPr>
          <w:rFonts w:hint="eastAsia" w:ascii="楷体" w:hAnsi="楷体" w:eastAsia="楷体" w:cs="楷体"/>
          <w:color w:val="000000" w:themeColor="text1"/>
          <w:sz w:val="32"/>
          <w:szCs w:val="32"/>
          <w14:textFill>
            <w14:solidFill>
              <w14:schemeClr w14:val="tx1"/>
            </w14:solidFill>
          </w14:textFill>
        </w:rPr>
        <w:t>主要</w:t>
      </w:r>
      <w:r>
        <w:rPr>
          <w:rFonts w:ascii="楷体" w:hAnsi="楷体" w:eastAsia="楷体" w:cs="楷体"/>
          <w:color w:val="000000" w:themeColor="text1"/>
          <w:sz w:val="32"/>
          <w:szCs w:val="32"/>
          <w14:textFill>
            <w14:solidFill>
              <w14:schemeClr w14:val="tx1"/>
            </w14:solidFill>
          </w14:textFill>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w:t>
      </w:r>
      <w:r>
        <w:rPr>
          <w:rFonts w:ascii="仿宋_GB2312" w:hAnsi="ˎ̥" w:eastAsia="仿宋_GB2312"/>
          <w:color w:val="000000" w:themeColor="text1"/>
          <w:sz w:val="32"/>
          <w:szCs w:val="32"/>
          <w14:textFill>
            <w14:solidFill>
              <w14:schemeClr w14:val="tx1"/>
            </w14:solidFill>
          </w14:textFill>
        </w:rPr>
        <w:t>收入</w:t>
      </w:r>
      <w:r>
        <w:rPr>
          <w:rFonts w:hint="default" w:ascii="仿宋_GB2312" w:hAnsi="ˎ̥" w:eastAsia="仿宋_GB2312"/>
          <w:color w:val="000000" w:themeColor="text1"/>
          <w:sz w:val="32"/>
          <w:szCs w:val="32"/>
          <w:lang w:val="en-US"/>
          <w14:textFill>
            <w14:solidFill>
              <w14:schemeClr w14:val="tx1"/>
            </w14:solidFill>
          </w14:textFill>
        </w:rPr>
        <w:t>2,830.18</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lang w:eastAsia="zh-CN"/>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使用非财政拨款结余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万元，较202</w:t>
      </w:r>
      <w:r>
        <w:rPr>
          <w:rFonts w:hint="eastAsia" w:ascii="仿宋_GB2312" w:hAnsi="ˎ̥" w:eastAsia="仿宋_GB2312"/>
          <w:color w:val="000000" w:themeColor="text1"/>
          <w:sz w:val="32"/>
          <w:szCs w:val="32"/>
          <w:lang w:val="en-US" w:eastAsia="zh-CN"/>
          <w14:textFill>
            <w14:solidFill>
              <w14:schemeClr w14:val="tx1"/>
            </w14:solidFill>
          </w14:textFill>
        </w:rPr>
        <w:t>3</w:t>
      </w:r>
      <w:r>
        <w:rPr>
          <w:rFonts w:hint="eastAsia" w:ascii="仿宋_GB2312" w:hAnsi="ˎ̥" w:eastAsia="仿宋_GB2312"/>
          <w:color w:val="000000" w:themeColor="text1"/>
          <w:sz w:val="32"/>
          <w:szCs w:val="32"/>
          <w14:textFill>
            <w14:solidFill>
              <w14:schemeClr w14:val="tx1"/>
            </w14:solidFill>
          </w14:textFill>
        </w:rPr>
        <w:t>年度决算数</w:t>
      </w:r>
      <w:r>
        <w:rPr>
          <w:rFonts w:hint="eastAsia" w:ascii="仿宋_GB2312" w:hAnsi="ˎ̥" w:eastAsia="仿宋_GB2312"/>
          <w:color w:val="000000" w:themeColor="text1"/>
          <w:sz w:val="32"/>
          <w:szCs w:val="32"/>
          <w:lang w:eastAsia="zh-CN"/>
          <w14:textFill>
            <w14:solidFill>
              <w14:schemeClr w14:val="tx1"/>
            </w14:solidFill>
          </w14:textFill>
        </w:rPr>
        <w:t>持平。</w:t>
      </w:r>
    </w:p>
    <w:p>
      <w:pPr>
        <w:spacing w:line="578" w:lineRule="exact"/>
        <w:ind w:firstLine="640" w:firstLineChars="200"/>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年初结转结余</w:t>
      </w:r>
      <w:r>
        <w:rPr>
          <w:rFonts w:hint="default" w:ascii="仿宋_GB2312" w:hAnsi="ˎ̥" w:eastAsia="仿宋_GB2312"/>
          <w:color w:val="000000" w:themeColor="text1"/>
          <w:sz w:val="32"/>
          <w:szCs w:val="32"/>
          <w:lang w:val="en-US"/>
          <w14:textFill>
            <w14:solidFill>
              <w14:schemeClr w14:val="tx1"/>
            </w14:solidFill>
          </w14:textFill>
        </w:rPr>
        <w:t>850.92</w:t>
      </w:r>
      <w:r>
        <w:rPr>
          <w:rFonts w:hint="eastAsia" w:ascii="仿宋_GB2312" w:hAnsi="ˎ̥" w:eastAsia="仿宋_GB2312"/>
          <w:color w:val="000000" w:themeColor="text1"/>
          <w:sz w:val="32"/>
          <w:szCs w:val="32"/>
          <w14:textFill>
            <w14:solidFill>
              <w14:schemeClr w14:val="tx1"/>
            </w14:solidFill>
          </w14:textFill>
        </w:rPr>
        <w:t>万元，主要是</w:t>
      </w:r>
      <w:r>
        <w:rPr>
          <w:rFonts w:hint="eastAsia" w:ascii="仿宋_GB2312" w:hAnsi="ˎ̥" w:eastAsia="仿宋_GB2312"/>
          <w:color w:val="000000" w:themeColor="text1"/>
          <w:sz w:val="32"/>
          <w:szCs w:val="32"/>
          <w:lang w:val="en-US" w:eastAsia="zh-CN"/>
          <w14:textFill>
            <w14:solidFill>
              <w14:schemeClr w14:val="tx1"/>
            </w14:solidFill>
          </w14:textFill>
        </w:rPr>
        <w:t>2023年财政局安排国有企业改制工作经费9.50万元，</w:t>
      </w:r>
      <w:r>
        <w:rPr>
          <w:rFonts w:hint="eastAsia" w:ascii="仿宋_GB2312" w:hAnsi="ˎ̥" w:eastAsia="仿宋_GB2312"/>
          <w:color w:val="000000" w:themeColor="text1"/>
          <w:sz w:val="32"/>
          <w:szCs w:val="32"/>
          <w14:textFill>
            <w14:solidFill>
              <w14:schemeClr w14:val="tx1"/>
            </w14:solidFill>
          </w14:textFill>
        </w:rPr>
        <w:t>精惠扶贫开发公司注册资金</w:t>
      </w:r>
      <w:r>
        <w:rPr>
          <w:rFonts w:hint="eastAsia" w:ascii="仿宋_GB2312" w:hAnsi="ˎ̥" w:eastAsia="仿宋_GB2312"/>
          <w:color w:val="000000" w:themeColor="text1"/>
          <w:sz w:val="32"/>
          <w:szCs w:val="32"/>
          <w:lang w:val="en-US" w:eastAsia="zh-CN"/>
          <w14:textFill>
            <w14:solidFill>
              <w14:schemeClr w14:val="tx1"/>
            </w14:solidFill>
          </w14:textFill>
        </w:rPr>
        <w:t>798.00万元，金穗惠农通“三农金融服务点”服务费24.52万元，色尼区财务合规性和预算执行情况专项财会监督工作资金18.90万元。</w:t>
      </w:r>
      <w:r>
        <w:rPr>
          <w:rFonts w:hint="eastAsia" w:ascii="仿宋_GB2312" w:hAnsi="ˎ̥" w:eastAsia="仿宋_GB2312"/>
          <w:color w:val="000000" w:themeColor="text1"/>
          <w:sz w:val="32"/>
          <w:szCs w:val="32"/>
          <w14:textFill>
            <w14:solidFill>
              <w14:schemeClr w14:val="tx1"/>
            </w14:solidFill>
          </w14:textFill>
        </w:rPr>
        <w:t>较202</w:t>
      </w:r>
      <w:r>
        <w:rPr>
          <w:rFonts w:hint="eastAsia" w:ascii="仿宋_GB2312" w:hAnsi="ˎ̥" w:eastAsia="仿宋_GB2312"/>
          <w:color w:val="000000" w:themeColor="text1"/>
          <w:sz w:val="32"/>
          <w:szCs w:val="32"/>
          <w:lang w:val="en-US" w:eastAsia="zh-CN"/>
          <w14:textFill>
            <w14:solidFill>
              <w14:schemeClr w14:val="tx1"/>
            </w14:solidFill>
          </w14:textFill>
        </w:rPr>
        <w:t>3</w:t>
      </w:r>
      <w:r>
        <w:rPr>
          <w:rFonts w:hint="eastAsia" w:ascii="仿宋_GB2312" w:hAnsi="ˎ̥" w:eastAsia="仿宋_GB2312"/>
          <w:color w:val="000000" w:themeColor="text1"/>
          <w:sz w:val="32"/>
          <w:szCs w:val="32"/>
          <w14:textFill>
            <w14:solidFill>
              <w14:schemeClr w14:val="tx1"/>
            </w14:solidFill>
          </w14:textFill>
        </w:rPr>
        <w:t>年度决算数</w:t>
      </w:r>
      <w:r>
        <w:rPr>
          <w:rFonts w:hint="eastAsia" w:ascii="仿宋_GB2312" w:hAnsi="ˎ̥" w:eastAsia="仿宋_GB2312"/>
          <w:color w:val="000000" w:themeColor="text1"/>
          <w:sz w:val="32"/>
          <w:szCs w:val="32"/>
          <w:lang w:val="en-US" w:eastAsia="zh-CN"/>
          <w14:textFill>
            <w14:solidFill>
              <w14:schemeClr w14:val="tx1"/>
            </w14:solidFill>
          </w14:textFill>
        </w:rPr>
        <w:t>减少8.62</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下降1.0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ascii="楷体" w:hAnsi="楷体" w:eastAsia="楷体" w:cs="楷体"/>
          <w:color w:val="000000" w:themeColor="text1"/>
          <w:sz w:val="32"/>
          <w:szCs w:val="32"/>
          <w14:textFill>
            <w14:solidFill>
              <w14:schemeClr w14:val="tx1"/>
            </w14:solidFill>
          </w14:textFill>
        </w:rPr>
        <w:t>）</w:t>
      </w:r>
      <w:r>
        <w:rPr>
          <w:rFonts w:hint="eastAsia" w:ascii="楷体" w:hAnsi="楷体" w:eastAsia="楷体" w:cs="楷体"/>
          <w:color w:val="000000" w:themeColor="text1"/>
          <w:sz w:val="32"/>
          <w:szCs w:val="32"/>
          <w14:textFill>
            <w14:solidFill>
              <w14:schemeClr w14:val="tx1"/>
            </w14:solidFill>
          </w14:textFill>
        </w:rPr>
        <w:t>支出</w:t>
      </w:r>
      <w:r>
        <w:rPr>
          <w:rFonts w:ascii="楷体" w:hAnsi="楷体" w:eastAsia="楷体" w:cs="楷体"/>
          <w:color w:val="000000" w:themeColor="text1"/>
          <w:sz w:val="32"/>
          <w:szCs w:val="32"/>
          <w14:textFill>
            <w14:solidFill>
              <w14:schemeClr w14:val="tx1"/>
            </w14:solidFill>
          </w14:textFill>
        </w:rPr>
        <w:t>总计</w:t>
      </w:r>
      <w:r>
        <w:rPr>
          <w:rFonts w:hint="eastAsia" w:ascii="楷体" w:hAnsi="楷体" w:eastAsia="楷体" w:cs="楷体"/>
          <w:color w:val="000000" w:themeColor="text1"/>
          <w:sz w:val="32"/>
          <w:szCs w:val="32"/>
          <w14:textFill>
            <w14:solidFill>
              <w14:schemeClr w14:val="tx1"/>
            </w14:solidFill>
          </w14:textFill>
        </w:rPr>
        <w:t>主要</w:t>
      </w:r>
      <w:r>
        <w:rPr>
          <w:rFonts w:ascii="楷体" w:hAnsi="楷体" w:eastAsia="楷体" w:cs="楷体"/>
          <w:color w:val="000000" w:themeColor="text1"/>
          <w:sz w:val="32"/>
          <w:szCs w:val="32"/>
          <w14:textFill>
            <w14:solidFill>
              <w14:schemeClr w14:val="tx1"/>
            </w14:solidFill>
          </w14:textFill>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本年支出</w:t>
      </w:r>
      <w:r>
        <w:rPr>
          <w:rFonts w:hint="default" w:ascii="仿宋_GB2312" w:hAnsi="ˎ̥" w:eastAsia="仿宋_GB2312"/>
          <w:color w:val="000000" w:themeColor="text1"/>
          <w:sz w:val="32"/>
          <w:szCs w:val="32"/>
          <w:lang w:val="en-US"/>
          <w14:textFill>
            <w14:solidFill>
              <w14:schemeClr w14:val="tx1"/>
            </w14:solidFill>
          </w14:textFill>
        </w:rPr>
        <w:t>3,681.09</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lang w:eastAsia="zh-CN"/>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结余分配</w:t>
      </w:r>
      <w:r>
        <w:rPr>
          <w:rFonts w:hint="eastAsia" w:ascii="仿宋_GB2312" w:hAnsi="ˎ̥" w:eastAsia="仿宋_GB2312"/>
          <w:color w:val="000000" w:themeColor="text1"/>
          <w:sz w:val="32"/>
          <w:szCs w:val="32"/>
          <w:lang w:val="en-US" w:eastAsia="zh-CN"/>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年末结转结余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color w:val="000000" w:themeColor="text1"/>
          <w:sz w:val="32"/>
          <w:szCs w:val="32"/>
          <w14:textFill>
            <w14:solidFill>
              <w14:schemeClr w14:val="tx1"/>
            </w14:solidFill>
          </w14:textFill>
        </w:rPr>
        <w:t xml:space="preserve">   （注</w:t>
      </w:r>
      <w:r>
        <w:rPr>
          <w:rFonts w:ascii="仿宋_GB2312" w:hAnsi="ˎ̥" w:eastAsia="仿宋_GB2312"/>
          <w:color w:val="000000" w:themeColor="text1"/>
          <w:sz w:val="32"/>
          <w:szCs w:val="32"/>
          <w14:textFill>
            <w14:solidFill>
              <w14:schemeClr w14:val="tx1"/>
            </w14:solidFill>
          </w14:textFill>
        </w:rPr>
        <w:t>：</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年度相关决算数据可取自附件</w:t>
      </w:r>
      <w:r>
        <w:rPr>
          <w:rFonts w:hint="eastAsia" w:ascii="仿宋_GB2312" w:hAnsi="ˎ̥" w:eastAsia="仿宋_GB2312"/>
          <w:sz w:val="32"/>
          <w:szCs w:val="32"/>
        </w:rPr>
        <w:t>财决公开01、02</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03</w:t>
      </w:r>
      <w:r>
        <w:rPr>
          <w:rFonts w:hint="eastAsia" w:ascii="仿宋_GB2312" w:hAnsi="ˎ̥" w:eastAsia="仿宋_GB2312"/>
          <w:sz w:val="32"/>
          <w:szCs w:val="32"/>
        </w:rPr>
        <w:t>表；</w:t>
      </w:r>
      <w:r>
        <w:rPr>
          <w:rFonts w:hint="default" w:ascii="仿宋_GB2312" w:hAnsi="ˎ̥" w:eastAsia="仿宋_GB2312"/>
          <w:sz w:val="32"/>
          <w:szCs w:val="32"/>
          <w:lang w:val="en-US"/>
        </w:rPr>
        <w:t>2023</w:t>
      </w:r>
      <w:r>
        <w:rPr>
          <w:rFonts w:hint="eastAsia" w:ascii="仿宋_GB2312" w:hAnsi="ˎ̥" w:eastAsia="仿宋_GB2312"/>
          <w:sz w:val="32"/>
          <w:szCs w:val="32"/>
        </w:rPr>
        <w:t>年度相关决算数据可取自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年度部门决算报表财决01表《收入支出决算总表》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w:t>
      </w:r>
      <w:r>
        <w:rPr>
          <w:rFonts w:hint="eastAsia" w:ascii="仿宋_GB2312" w:hAnsi="ˎ̥" w:eastAsia="仿宋_GB2312"/>
          <w:color w:val="000000" w:themeColor="text1"/>
          <w:sz w:val="32"/>
          <w:szCs w:val="32"/>
          <w14:textFill>
            <w14:solidFill>
              <w14:schemeClr w14:val="tx1"/>
            </w14:solidFill>
          </w14:textFill>
        </w:rPr>
        <w:t>本年收入</w:t>
      </w:r>
      <w:r>
        <w:rPr>
          <w:rFonts w:hint="default" w:ascii="仿宋_GB2312" w:hAnsi="ˎ̥" w:eastAsia="仿宋_GB2312"/>
          <w:color w:val="000000" w:themeColor="text1"/>
          <w:sz w:val="32"/>
          <w:szCs w:val="32"/>
          <w:lang w:val="en-US"/>
          <w14:textFill>
            <w14:solidFill>
              <w14:schemeClr w14:val="tx1"/>
            </w14:solidFill>
          </w14:textFill>
        </w:rPr>
        <w:t>2,830.18</w:t>
      </w:r>
      <w:r>
        <w:rPr>
          <w:rFonts w:hint="eastAsia" w:ascii="仿宋_GB2312" w:hAnsi="ˎ̥" w:eastAsia="仿宋_GB2312"/>
          <w:color w:val="000000" w:themeColor="text1"/>
          <w:sz w:val="32"/>
          <w:szCs w:val="32"/>
          <w14:textFill>
            <w14:solidFill>
              <w14:schemeClr w14:val="tx1"/>
            </w14:solidFill>
          </w14:textFill>
        </w:rPr>
        <w:t>万元，其中：财政拨款收入</w:t>
      </w:r>
      <w:r>
        <w:rPr>
          <w:rFonts w:hint="default" w:ascii="仿宋_GB2312" w:hAnsi="ˎ̥" w:eastAsia="仿宋_GB2312"/>
          <w:color w:val="000000" w:themeColor="text1"/>
          <w:sz w:val="32"/>
          <w:szCs w:val="32"/>
          <w:lang w:val="en-US"/>
          <w14:textFill>
            <w14:solidFill>
              <w14:schemeClr w14:val="tx1"/>
            </w14:solidFill>
          </w14:textFill>
        </w:rPr>
        <w:t>2,830.18</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%；上级补助收入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%；事业收入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%；经营收入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%；附属单位上缴收入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%；其他收入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sz w:val="32"/>
          <w:szCs w:val="32"/>
        </w:rPr>
      </w:pPr>
      <w:r>
        <w:rPr>
          <w:rFonts w:hint="eastAsia" w:ascii="仿宋_GB2312" w:hAnsi="ˎ̥" w:eastAsia="仿宋_GB2312"/>
          <w:color w:val="000000" w:themeColor="text1"/>
          <w:sz w:val="32"/>
          <w:szCs w:val="32"/>
          <w14:textFill>
            <w14:solidFill>
              <w14:schemeClr w14:val="tx1"/>
            </w14:solidFill>
          </w14:textFill>
        </w:rPr>
        <w:t xml:space="preserve">  （注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上述各项收入数可取自财决公开02表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本年支出</w:t>
      </w:r>
      <w:r>
        <w:rPr>
          <w:rFonts w:hint="default" w:ascii="仿宋_GB2312" w:hAnsi="ˎ̥" w:eastAsia="仿宋_GB2312"/>
          <w:color w:val="000000" w:themeColor="text1"/>
          <w:sz w:val="32"/>
          <w:szCs w:val="32"/>
          <w:lang w:val="en-US"/>
          <w14:textFill>
            <w14:solidFill>
              <w14:schemeClr w14:val="tx1"/>
            </w14:solidFill>
          </w14:textFill>
        </w:rPr>
        <w:t>3,681.09</w:t>
      </w:r>
      <w:r>
        <w:rPr>
          <w:rFonts w:hint="eastAsia" w:ascii="仿宋_GB2312" w:hAnsi="ˎ̥" w:eastAsia="仿宋_GB2312"/>
          <w:color w:val="000000" w:themeColor="text1"/>
          <w:sz w:val="32"/>
          <w:szCs w:val="32"/>
          <w14:textFill>
            <w14:solidFill>
              <w14:schemeClr w14:val="tx1"/>
            </w14:solidFill>
          </w14:textFill>
        </w:rPr>
        <w:t>万元，其中：基本支出</w:t>
      </w:r>
      <w:r>
        <w:rPr>
          <w:rFonts w:hint="default" w:ascii="仿宋_GB2312" w:hAnsi="ˎ̥" w:eastAsia="仿宋_GB2312"/>
          <w:color w:val="000000" w:themeColor="text1"/>
          <w:sz w:val="32"/>
          <w:szCs w:val="32"/>
          <w:lang w:val="en-US"/>
          <w14:textFill>
            <w14:solidFill>
              <w14:schemeClr w14:val="tx1"/>
            </w14:solidFill>
          </w14:textFill>
        </w:rPr>
        <w:t>574.21</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15.6</w:t>
      </w:r>
      <w:r>
        <w:rPr>
          <w:rFonts w:hint="eastAsia" w:ascii="仿宋_GB2312" w:hAnsi="ˎ̥" w:eastAsia="仿宋_GB2312"/>
          <w:color w:val="000000" w:themeColor="text1"/>
          <w:sz w:val="32"/>
          <w:szCs w:val="32"/>
          <w14:textFill>
            <w14:solidFill>
              <w14:schemeClr w14:val="tx1"/>
            </w14:solidFill>
          </w14:textFill>
        </w:rPr>
        <w:t>%；项目支出</w:t>
      </w:r>
      <w:r>
        <w:rPr>
          <w:rFonts w:hint="default" w:ascii="仿宋_GB2312" w:hAnsi="ˎ̥" w:eastAsia="仿宋_GB2312"/>
          <w:color w:val="000000" w:themeColor="text1"/>
          <w:sz w:val="32"/>
          <w:szCs w:val="32"/>
          <w:lang w:val="en-US"/>
          <w14:textFill>
            <w14:solidFill>
              <w14:schemeClr w14:val="tx1"/>
            </w14:solidFill>
          </w14:textFill>
        </w:rPr>
        <w:t>3,106.88</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84.4</w:t>
      </w:r>
      <w:r>
        <w:rPr>
          <w:rFonts w:hint="eastAsia" w:ascii="仿宋_GB2312" w:hAnsi="ˎ̥" w:eastAsia="仿宋_GB2312"/>
          <w:color w:val="000000" w:themeColor="text1"/>
          <w:sz w:val="32"/>
          <w:szCs w:val="32"/>
          <w14:textFill>
            <w14:solidFill>
              <w14:schemeClr w14:val="tx1"/>
            </w14:solidFill>
          </w14:textFill>
        </w:rPr>
        <w:t>%；上缴上级支出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%；经营支出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%；对附属单位补助支出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上述各项支出数可取自财决公开03表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pPr>
        <w:spacing w:line="578" w:lineRule="exact"/>
        <w:ind w:firstLine="640" w:firstLineChars="200"/>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年度财政拨款收入</w:t>
      </w:r>
      <w:r>
        <w:rPr>
          <w:rFonts w:hint="default" w:ascii="仿宋_GB2312" w:hAnsi="ˎ̥" w:eastAsia="仿宋_GB2312"/>
          <w:color w:val="000000" w:themeColor="text1"/>
          <w:sz w:val="32"/>
          <w:szCs w:val="32"/>
          <w:lang w:val="en-US"/>
          <w14:textFill>
            <w14:solidFill>
              <w14:schemeClr w14:val="tx1"/>
            </w14:solidFill>
          </w14:textFill>
        </w:rPr>
        <w:t>2,830.18</w:t>
      </w:r>
      <w:r>
        <w:rPr>
          <w:rFonts w:hint="eastAsia" w:ascii="仿宋_GB2312" w:hAnsi="ˎ̥" w:eastAsia="仿宋_GB2312"/>
          <w:color w:val="000000" w:themeColor="text1"/>
          <w:sz w:val="32"/>
          <w:szCs w:val="32"/>
          <w14:textFill>
            <w14:solidFill>
              <w14:schemeClr w14:val="tx1"/>
            </w14:solidFill>
          </w14:textFill>
        </w:rPr>
        <w:t>万元，支出</w:t>
      </w:r>
      <w:r>
        <w:rPr>
          <w:rFonts w:hint="default" w:ascii="仿宋_GB2312" w:hAnsi="ˎ̥" w:eastAsia="仿宋_GB2312"/>
          <w:color w:val="000000" w:themeColor="text1"/>
          <w:sz w:val="32"/>
          <w:szCs w:val="32"/>
          <w:lang w:val="en-US"/>
          <w14:textFill>
            <w14:solidFill>
              <w14:schemeClr w14:val="tx1"/>
            </w14:solidFill>
          </w14:textFill>
        </w:rPr>
        <w:t>3,681.09</w:t>
      </w:r>
      <w:r>
        <w:rPr>
          <w:rFonts w:hint="eastAsia" w:ascii="仿宋_GB2312" w:hAnsi="ˎ̥" w:eastAsia="仿宋_GB2312"/>
          <w:color w:val="000000" w:themeColor="text1"/>
          <w:sz w:val="32"/>
          <w:szCs w:val="32"/>
          <w14:textFill>
            <w14:solidFill>
              <w14:schemeClr w14:val="tx1"/>
            </w14:solidFill>
          </w14:textFill>
        </w:rPr>
        <w:t>万元。与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年度相比，财政拨款收入增加</w:t>
      </w:r>
      <w:r>
        <w:rPr>
          <w:rFonts w:hint="eastAsia" w:ascii="仿宋_GB2312" w:hAnsi="ˎ̥" w:eastAsia="仿宋_GB2312"/>
          <w:color w:val="000000" w:themeColor="text1"/>
          <w:sz w:val="32"/>
          <w:szCs w:val="32"/>
          <w:lang w:val="en-US" w:eastAsia="zh-CN"/>
          <w14:textFill>
            <w14:solidFill>
              <w14:schemeClr w14:val="tx1"/>
            </w14:solidFill>
          </w14:textFill>
        </w:rPr>
        <w:t>1926.67</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213.24</w:t>
      </w:r>
      <w:r>
        <w:rPr>
          <w:rFonts w:hint="eastAsia" w:ascii="仿宋_GB2312" w:hAnsi="ˎ̥" w:eastAsia="仿宋_GB2312"/>
          <w:color w:val="000000" w:themeColor="text1"/>
          <w:sz w:val="32"/>
          <w:szCs w:val="32"/>
          <w14:textFill>
            <w14:solidFill>
              <w14:schemeClr w14:val="tx1"/>
            </w14:solidFill>
          </w14:textFill>
        </w:rPr>
        <w:t>%，主要原因：</w:t>
      </w:r>
      <w:r>
        <w:rPr>
          <w:rFonts w:hint="eastAsia" w:ascii="仿宋_GB2312" w:hAnsi="ˎ̥" w:eastAsia="仿宋_GB2312"/>
          <w:color w:val="000000" w:themeColor="text1"/>
          <w:sz w:val="32"/>
          <w:szCs w:val="32"/>
          <w:lang w:val="en-US" w:eastAsia="zh-CN"/>
          <w14:textFill>
            <w14:solidFill>
              <w14:schemeClr w14:val="tx1"/>
            </w14:solidFill>
          </w14:textFill>
        </w:rPr>
        <w:t>财政局</w:t>
      </w:r>
      <w:r>
        <w:rPr>
          <w:rFonts w:hint="eastAsia" w:ascii="仿宋_GB2312" w:hAnsi="ˎ̥" w:eastAsia="仿宋_GB2312"/>
          <w:color w:val="000000" w:themeColor="text1"/>
          <w:sz w:val="32"/>
          <w:szCs w:val="32"/>
          <w14:textFill>
            <w14:solidFill>
              <w14:schemeClr w14:val="tx1"/>
            </w14:solidFill>
          </w14:textFill>
        </w:rPr>
        <w:t>2024年新增项目：政府一般债券兑现费用付息经费：1033</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01</w:t>
      </w:r>
      <w:r>
        <w:rPr>
          <w:rFonts w:hint="eastAsia" w:ascii="仿宋_GB2312" w:hAnsi="ˎ̥" w:eastAsia="仿宋_GB2312"/>
          <w:color w:val="000000" w:themeColor="text1"/>
          <w:sz w:val="32"/>
          <w:szCs w:val="32"/>
          <w:lang w:val="en-US" w:eastAsia="zh-CN"/>
          <w14:textFill>
            <w14:solidFill>
              <w14:schemeClr w14:val="tx1"/>
            </w14:solidFill>
          </w14:textFill>
        </w:rPr>
        <w:t>万</w:t>
      </w:r>
      <w:r>
        <w:rPr>
          <w:rFonts w:hint="eastAsia" w:ascii="仿宋_GB2312" w:hAnsi="ˎ̥" w:eastAsia="仿宋_GB2312"/>
          <w:color w:val="000000" w:themeColor="text1"/>
          <w:sz w:val="32"/>
          <w:szCs w:val="32"/>
          <w14:textFill>
            <w14:solidFill>
              <w14:schemeClr w14:val="tx1"/>
            </w14:solidFill>
          </w14:textFill>
        </w:rPr>
        <w:t>元，投资评审费用：135</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78</w:t>
      </w:r>
      <w:r>
        <w:rPr>
          <w:rFonts w:hint="eastAsia" w:ascii="仿宋_GB2312" w:hAnsi="ˎ̥" w:eastAsia="仿宋_GB2312"/>
          <w:color w:val="000000" w:themeColor="text1"/>
          <w:sz w:val="32"/>
          <w:szCs w:val="32"/>
          <w:lang w:val="en-US" w:eastAsia="zh-CN"/>
          <w14:textFill>
            <w14:solidFill>
              <w14:schemeClr w14:val="tx1"/>
            </w14:solidFill>
          </w14:textFill>
        </w:rPr>
        <w:t>万</w:t>
      </w:r>
      <w:r>
        <w:rPr>
          <w:rFonts w:hint="eastAsia" w:ascii="仿宋_GB2312" w:hAnsi="ˎ̥" w:eastAsia="仿宋_GB2312"/>
          <w:color w:val="000000" w:themeColor="text1"/>
          <w:sz w:val="32"/>
          <w:szCs w:val="32"/>
          <w14:textFill>
            <w14:solidFill>
              <w14:schemeClr w14:val="tx1"/>
            </w14:solidFill>
          </w14:textFill>
        </w:rPr>
        <w:t>元，税务局税源培植征管激励资金：174</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1</w:t>
      </w:r>
      <w:r>
        <w:rPr>
          <w:rFonts w:hint="eastAsia" w:ascii="仿宋_GB2312" w:hAnsi="ˎ̥" w:eastAsia="仿宋_GB2312"/>
          <w:color w:val="000000" w:themeColor="text1"/>
          <w:sz w:val="32"/>
          <w:szCs w:val="32"/>
          <w:lang w:val="en-US" w:eastAsia="zh-CN"/>
          <w14:textFill>
            <w14:solidFill>
              <w14:schemeClr w14:val="tx1"/>
            </w14:solidFill>
          </w14:textFill>
        </w:rPr>
        <w:t>万</w:t>
      </w:r>
      <w:r>
        <w:rPr>
          <w:rFonts w:hint="eastAsia" w:ascii="仿宋_GB2312" w:hAnsi="ˎ̥" w:eastAsia="仿宋_GB2312"/>
          <w:color w:val="000000" w:themeColor="text1"/>
          <w:sz w:val="32"/>
          <w:szCs w:val="32"/>
          <w14:textFill>
            <w14:solidFill>
              <w14:schemeClr w14:val="tx1"/>
            </w14:solidFill>
          </w14:textFill>
        </w:rPr>
        <w:t>元，精惠扶贫开发公司注册资金：79</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8</w:t>
      </w:r>
      <w:r>
        <w:rPr>
          <w:rFonts w:hint="eastAsia" w:ascii="仿宋_GB2312" w:hAnsi="ˎ̥" w:eastAsia="仿宋_GB2312"/>
          <w:color w:val="000000" w:themeColor="text1"/>
          <w:sz w:val="32"/>
          <w:szCs w:val="32"/>
          <w:lang w:val="en-US" w:eastAsia="zh-CN"/>
          <w14:textFill>
            <w14:solidFill>
              <w14:schemeClr w14:val="tx1"/>
            </w14:solidFill>
          </w14:textFill>
        </w:rPr>
        <w:t>万元</w:t>
      </w:r>
      <w:r>
        <w:rPr>
          <w:rFonts w:hint="eastAsia" w:ascii="仿宋_GB2312" w:hAnsi="ˎ̥" w:eastAsia="仿宋_GB2312"/>
          <w:color w:val="000000" w:themeColor="text1"/>
          <w:sz w:val="32"/>
          <w:szCs w:val="32"/>
          <w14:textFill>
            <w14:solidFill>
              <w14:schemeClr w14:val="tx1"/>
            </w14:solidFill>
          </w14:textFill>
        </w:rPr>
        <w:t>，2024年增加了用氧经费3</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4</w:t>
      </w:r>
      <w:r>
        <w:rPr>
          <w:rFonts w:hint="eastAsia" w:ascii="仿宋_GB2312" w:hAnsi="ˎ̥" w:eastAsia="仿宋_GB2312"/>
          <w:color w:val="000000" w:themeColor="text1"/>
          <w:sz w:val="32"/>
          <w:szCs w:val="32"/>
          <w:lang w:val="en-US" w:eastAsia="zh-CN"/>
          <w14:textFill>
            <w14:solidFill>
              <w14:schemeClr w14:val="tx1"/>
            </w14:solidFill>
          </w14:textFill>
        </w:rPr>
        <w:t>万</w:t>
      </w:r>
      <w:r>
        <w:rPr>
          <w:rFonts w:hint="eastAsia" w:ascii="仿宋_GB2312" w:hAnsi="ˎ̥" w:eastAsia="仿宋_GB2312"/>
          <w:color w:val="000000" w:themeColor="text1"/>
          <w:sz w:val="32"/>
          <w:szCs w:val="32"/>
          <w14:textFill>
            <w14:solidFill>
              <w14:schemeClr w14:val="tx1"/>
            </w14:solidFill>
          </w14:textFill>
        </w:rPr>
        <w:t>等原因本年收入增加；</w:t>
      </w:r>
      <w:r>
        <w:rPr>
          <w:rFonts w:hint="eastAsia" w:ascii="仿宋_GB2312" w:hAnsi="ˎ̥" w:eastAsia="仿宋_GB2312"/>
          <w:color w:val="000000" w:themeColor="text1"/>
          <w:sz w:val="32"/>
          <w:szCs w:val="32"/>
          <w:lang w:eastAsia="zh-CN"/>
          <w14:textFill>
            <w14:solidFill>
              <w14:schemeClr w14:val="tx1"/>
            </w14:solidFill>
          </w14:textFill>
        </w:rPr>
        <w:t>财政本部门</w:t>
      </w:r>
      <w:r>
        <w:rPr>
          <w:rFonts w:hint="eastAsia" w:ascii="仿宋_GB2312" w:hAnsi="ˎ̥" w:eastAsia="仿宋_GB2312"/>
          <w:color w:val="000000" w:themeColor="text1"/>
          <w:sz w:val="32"/>
          <w:szCs w:val="32"/>
          <w:lang w:val="en-US" w:eastAsia="zh-CN"/>
          <w14:textFill>
            <w14:solidFill>
              <w14:schemeClr w14:val="tx1"/>
            </w14:solidFill>
          </w14:textFill>
        </w:rPr>
        <w:t>支出增长</w:t>
      </w:r>
      <w:r>
        <w:rPr>
          <w:rFonts w:hint="eastAsia" w:ascii="仿宋_GB2312" w:hAnsi="ˎ̥" w:eastAsia="仿宋_GB2312"/>
          <w:color w:val="000000" w:themeColor="text1"/>
          <w:sz w:val="32"/>
          <w:szCs w:val="32"/>
          <w:lang w:eastAsia="zh-CN"/>
          <w14:textFill>
            <w14:solidFill>
              <w14:schemeClr w14:val="tx1"/>
            </w14:solidFill>
          </w14:textFill>
        </w:rPr>
        <w:t>明显</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财政拨款年初结转结余</w:t>
      </w:r>
      <w:r>
        <w:rPr>
          <w:rFonts w:hint="default" w:ascii="仿宋_GB2312" w:hAnsi="ˎ̥" w:eastAsia="仿宋_GB2312"/>
          <w:color w:val="000000" w:themeColor="text1"/>
          <w:sz w:val="32"/>
          <w:szCs w:val="32"/>
          <w:lang w:val="en-US"/>
          <w14:textFill>
            <w14:solidFill>
              <w14:schemeClr w14:val="tx1"/>
            </w14:solidFill>
          </w14:textFill>
        </w:rPr>
        <w:t>850.92</w:t>
      </w:r>
      <w:r>
        <w:rPr>
          <w:rFonts w:hint="eastAsia" w:ascii="仿宋_GB2312" w:hAnsi="ˎ̥" w:eastAsia="仿宋_GB2312"/>
          <w:color w:val="000000" w:themeColor="text1"/>
          <w:sz w:val="32"/>
          <w:szCs w:val="32"/>
          <w14:textFill>
            <w14:solidFill>
              <w14:schemeClr w14:val="tx1"/>
            </w14:solidFill>
          </w14:textFill>
        </w:rPr>
        <w:t>万元，主要是</w:t>
      </w:r>
      <w:r>
        <w:rPr>
          <w:rFonts w:hint="eastAsia" w:ascii="仿宋_GB2312" w:hAnsi="ˎ̥" w:eastAsia="仿宋_GB2312"/>
          <w:color w:val="000000" w:themeColor="text1"/>
          <w:sz w:val="32"/>
          <w:szCs w:val="32"/>
          <w:lang w:val="en-US" w:eastAsia="zh-CN"/>
          <w14:textFill>
            <w14:solidFill>
              <w14:schemeClr w14:val="tx1"/>
            </w14:solidFill>
          </w14:textFill>
        </w:rPr>
        <w:t>2023年财政局安排国有企业改制工作经费9.50万元，</w:t>
      </w:r>
      <w:r>
        <w:rPr>
          <w:rFonts w:hint="eastAsia" w:ascii="仿宋_GB2312" w:hAnsi="ˎ̥" w:eastAsia="仿宋_GB2312"/>
          <w:color w:val="000000" w:themeColor="text1"/>
          <w:sz w:val="32"/>
          <w:szCs w:val="32"/>
          <w14:textFill>
            <w14:solidFill>
              <w14:schemeClr w14:val="tx1"/>
            </w14:solidFill>
          </w14:textFill>
        </w:rPr>
        <w:t>精惠扶贫开发公司注册资金</w:t>
      </w:r>
      <w:r>
        <w:rPr>
          <w:rFonts w:hint="eastAsia" w:ascii="仿宋_GB2312" w:hAnsi="ˎ̥" w:eastAsia="仿宋_GB2312"/>
          <w:color w:val="000000" w:themeColor="text1"/>
          <w:sz w:val="32"/>
          <w:szCs w:val="32"/>
          <w:lang w:val="en-US" w:eastAsia="zh-CN"/>
          <w14:textFill>
            <w14:solidFill>
              <w14:schemeClr w14:val="tx1"/>
            </w14:solidFill>
          </w14:textFill>
        </w:rPr>
        <w:t>798.00万元，金穗惠农通“三农金融服务点”服务费24.52万元，色尼区财务合规性和预算执行情况专项财会监督工作资金18.90万元。</w:t>
      </w:r>
      <w:r>
        <w:rPr>
          <w:rFonts w:hint="eastAsia" w:ascii="仿宋_GB2312" w:hAnsi="ˎ̥" w:eastAsia="仿宋_GB2312"/>
          <w:color w:val="000000" w:themeColor="text1"/>
          <w:sz w:val="32"/>
          <w:szCs w:val="32"/>
          <w14:textFill>
            <w14:solidFill>
              <w14:schemeClr w14:val="tx1"/>
            </w14:solidFill>
          </w14:textFill>
        </w:rPr>
        <w:t>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年度决算数减少</w:t>
      </w:r>
      <w:r>
        <w:rPr>
          <w:rFonts w:hint="eastAsia" w:ascii="仿宋_GB2312" w:hAnsi="ˎ̥" w:eastAsia="仿宋_GB2312"/>
          <w:color w:val="000000" w:themeColor="text1"/>
          <w:sz w:val="32"/>
          <w:szCs w:val="32"/>
          <w:lang w:val="en-US" w:eastAsia="zh-CN"/>
          <w14:textFill>
            <w14:solidFill>
              <w14:schemeClr w14:val="tx1"/>
            </w14:solidFill>
          </w14:textFill>
        </w:rPr>
        <w:t>8.62</w:t>
      </w:r>
      <w:r>
        <w:rPr>
          <w:rFonts w:hint="eastAsia" w:ascii="仿宋_GB2312" w:hAnsi="ˎ̥" w:eastAsia="仿宋_GB2312"/>
          <w:color w:val="000000" w:themeColor="text1"/>
          <w:sz w:val="32"/>
          <w:szCs w:val="32"/>
          <w14:textFill>
            <w14:solidFill>
              <w14:schemeClr w14:val="tx1"/>
            </w14:solidFill>
          </w14:textFill>
        </w:rPr>
        <w:t>万元，下降</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财政拨款年末结转结余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年度决算相关数据可取自财决公开04表。</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年度决算相关数据可取自</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年度部门决算报表财</w:t>
      </w:r>
      <w:r>
        <w:rPr>
          <w:rFonts w:hint="eastAsia" w:ascii="仿宋_GB2312" w:hAnsi="ˎ̥" w:eastAsia="仿宋_GB2312"/>
          <w:sz w:val="32"/>
          <w:szCs w:val="32"/>
        </w:rPr>
        <w:t>决01-1表《财政拨款收入支出决算总表》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1" w:name="_Toc23005_WPSOffice_Level2"/>
      <w:bookmarkStart w:id="82" w:name="_Toc17398_WPSOffice_Level2"/>
      <w:bookmarkStart w:id="83" w:name="_Toc21737_WPSOffice_Level2"/>
      <w:bookmarkStart w:id="84" w:name="_Toc9989_WPSOffice_Level2"/>
      <w:bookmarkStart w:id="85" w:name="_Toc13694_WPSOffice_Level2"/>
      <w:bookmarkStart w:id="86" w:name="_Toc19665_WPSOffice_Level2"/>
      <w:r>
        <w:rPr>
          <w:rFonts w:hint="eastAsia" w:ascii="楷体" w:hAnsi="楷体" w:eastAsia="楷体" w:cs="楷体"/>
          <w:sz w:val="32"/>
          <w:szCs w:val="32"/>
        </w:rPr>
        <w:t>（一）一般公共预算财政拨款支出决算总体情况</w:t>
      </w:r>
      <w:bookmarkEnd w:id="81"/>
      <w:bookmarkEnd w:id="82"/>
      <w:bookmarkEnd w:id="83"/>
      <w:bookmarkEnd w:id="84"/>
      <w:bookmarkEnd w:id="85"/>
      <w:bookmarkEnd w:id="8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年度一般公共预算财政拨款支出</w:t>
      </w:r>
      <w:r>
        <w:rPr>
          <w:rFonts w:hint="default" w:ascii="仿宋_GB2312" w:hAnsi="ˎ̥" w:eastAsia="仿宋_GB2312"/>
          <w:color w:val="000000" w:themeColor="text1"/>
          <w:sz w:val="32"/>
          <w:szCs w:val="32"/>
          <w:lang w:val="en-US"/>
          <w14:textFill>
            <w14:solidFill>
              <w14:schemeClr w14:val="tx1"/>
            </w14:solidFill>
          </w14:textFill>
        </w:rPr>
        <w:t>3,681.09</w:t>
      </w:r>
      <w:r>
        <w:rPr>
          <w:rFonts w:hint="eastAsia" w:ascii="仿宋_GB2312" w:hAnsi="ˎ̥" w:eastAsia="仿宋_GB2312"/>
          <w:color w:val="000000" w:themeColor="text1"/>
          <w:sz w:val="32"/>
          <w:szCs w:val="32"/>
          <w14:textFill>
            <w14:solidFill>
              <w14:schemeClr w14:val="tx1"/>
            </w14:solidFill>
          </w14:textFill>
        </w:rPr>
        <w:t>万元，占本年支出合计的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年度相比，一般公共预算财政拨款支出增加</w:t>
      </w:r>
      <w:r>
        <w:rPr>
          <w:rFonts w:hint="eastAsia" w:ascii="仿宋_GB2312" w:hAnsi="ˎ̥" w:eastAsia="仿宋_GB2312"/>
          <w:color w:val="000000" w:themeColor="text1"/>
          <w:sz w:val="32"/>
          <w:szCs w:val="32"/>
          <w:lang w:val="en-US" w:eastAsia="zh-CN"/>
          <w14:textFill>
            <w14:solidFill>
              <w14:schemeClr w14:val="tx1"/>
            </w14:solidFill>
          </w14:textFill>
        </w:rPr>
        <w:t>1918.05</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108.8</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val="en-US" w:eastAsia="zh-CN"/>
          <w14:textFill>
            <w14:solidFill>
              <w14:schemeClr w14:val="tx1"/>
            </w14:solidFill>
          </w14:textFill>
        </w:rPr>
        <w:t>一是</w:t>
      </w:r>
      <w:r>
        <w:rPr>
          <w:rFonts w:hint="default" w:ascii="仿宋_GB2312" w:hAnsi="ˎ̥" w:eastAsia="仿宋_GB2312"/>
          <w:color w:val="000000" w:themeColor="text1"/>
          <w:sz w:val="32"/>
          <w:szCs w:val="32"/>
          <w:lang w:val="en-US"/>
          <w14:textFill>
            <w14:solidFill>
              <w14:schemeClr w14:val="tx1"/>
            </w14:solidFill>
          </w14:textFill>
        </w:rPr>
        <w:t>2</w:t>
      </w:r>
      <w:r>
        <w:rPr>
          <w:rFonts w:hint="eastAsia" w:ascii="仿宋_GB2312" w:hAnsi="ˎ̥" w:eastAsia="仿宋_GB2312"/>
          <w:color w:val="000000" w:themeColor="text1"/>
          <w:sz w:val="32"/>
          <w:szCs w:val="32"/>
          <w14:textFill>
            <w14:solidFill>
              <w14:schemeClr w14:val="tx1"/>
            </w14:solidFill>
          </w14:textFill>
        </w:rPr>
        <w:t>024年新增项目：政府一般债券兑现费用付息经费：1033</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01</w:t>
      </w:r>
      <w:r>
        <w:rPr>
          <w:rFonts w:hint="eastAsia" w:ascii="仿宋_GB2312" w:hAnsi="ˎ̥" w:eastAsia="仿宋_GB2312"/>
          <w:color w:val="000000" w:themeColor="text1"/>
          <w:sz w:val="32"/>
          <w:szCs w:val="32"/>
          <w:lang w:val="en-US" w:eastAsia="zh-CN"/>
          <w14:textFill>
            <w14:solidFill>
              <w14:schemeClr w14:val="tx1"/>
            </w14:solidFill>
          </w14:textFill>
        </w:rPr>
        <w:t>万</w:t>
      </w:r>
      <w:r>
        <w:rPr>
          <w:rFonts w:hint="eastAsia" w:ascii="仿宋_GB2312" w:hAnsi="ˎ̥" w:eastAsia="仿宋_GB2312"/>
          <w:color w:val="000000" w:themeColor="text1"/>
          <w:sz w:val="32"/>
          <w:szCs w:val="32"/>
          <w14:textFill>
            <w14:solidFill>
              <w14:schemeClr w14:val="tx1"/>
            </w14:solidFill>
          </w14:textFill>
        </w:rPr>
        <w:t>元，投资评审费用：135</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78</w:t>
      </w:r>
      <w:r>
        <w:rPr>
          <w:rFonts w:hint="eastAsia" w:ascii="仿宋_GB2312" w:hAnsi="ˎ̥" w:eastAsia="仿宋_GB2312"/>
          <w:color w:val="000000" w:themeColor="text1"/>
          <w:sz w:val="32"/>
          <w:szCs w:val="32"/>
          <w:lang w:val="en-US" w:eastAsia="zh-CN"/>
          <w14:textFill>
            <w14:solidFill>
              <w14:schemeClr w14:val="tx1"/>
            </w14:solidFill>
          </w14:textFill>
        </w:rPr>
        <w:t>万</w:t>
      </w:r>
      <w:r>
        <w:rPr>
          <w:rFonts w:hint="eastAsia" w:ascii="仿宋_GB2312" w:hAnsi="ˎ̥" w:eastAsia="仿宋_GB2312"/>
          <w:color w:val="000000" w:themeColor="text1"/>
          <w:sz w:val="32"/>
          <w:szCs w:val="32"/>
          <w14:textFill>
            <w14:solidFill>
              <w14:schemeClr w14:val="tx1"/>
            </w14:solidFill>
          </w14:textFill>
        </w:rPr>
        <w:t>元，税务局税源培植征管激励资金：174</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1</w:t>
      </w:r>
      <w:r>
        <w:rPr>
          <w:rFonts w:hint="eastAsia" w:ascii="仿宋_GB2312" w:hAnsi="ˎ̥" w:eastAsia="仿宋_GB2312"/>
          <w:color w:val="000000" w:themeColor="text1"/>
          <w:sz w:val="32"/>
          <w:szCs w:val="32"/>
          <w:lang w:val="en-US" w:eastAsia="zh-CN"/>
          <w14:textFill>
            <w14:solidFill>
              <w14:schemeClr w14:val="tx1"/>
            </w14:solidFill>
          </w14:textFill>
        </w:rPr>
        <w:t>万</w:t>
      </w:r>
      <w:r>
        <w:rPr>
          <w:rFonts w:hint="eastAsia" w:ascii="仿宋_GB2312" w:hAnsi="ˎ̥" w:eastAsia="仿宋_GB2312"/>
          <w:color w:val="000000" w:themeColor="text1"/>
          <w:sz w:val="32"/>
          <w:szCs w:val="32"/>
          <w14:textFill>
            <w14:solidFill>
              <w14:schemeClr w14:val="tx1"/>
            </w14:solidFill>
          </w14:textFill>
        </w:rPr>
        <w:t>元，精惠扶贫开发公司注册资金：79</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8</w:t>
      </w:r>
      <w:r>
        <w:rPr>
          <w:rFonts w:hint="eastAsia" w:ascii="仿宋_GB2312" w:hAnsi="ˎ̥" w:eastAsia="仿宋_GB2312"/>
          <w:color w:val="000000" w:themeColor="text1"/>
          <w:sz w:val="32"/>
          <w:szCs w:val="32"/>
          <w:lang w:eastAsia="zh-CN"/>
          <w14:textFill>
            <w14:solidFill>
              <w14:schemeClr w14:val="tx1"/>
            </w14:solidFill>
          </w14:textFill>
        </w:rPr>
        <w:t>万</w:t>
      </w:r>
      <w:r>
        <w:rPr>
          <w:rFonts w:hint="eastAsia" w:ascii="仿宋_GB2312" w:hAnsi="ˎ̥" w:eastAsia="仿宋_GB2312"/>
          <w:color w:val="000000" w:themeColor="text1"/>
          <w:sz w:val="32"/>
          <w:szCs w:val="32"/>
          <w14:textFill>
            <w14:solidFill>
              <w14:schemeClr w14:val="tx1"/>
            </w14:solidFill>
          </w14:textFill>
        </w:rPr>
        <w:t>元，所以项目支出增加了。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7" w:name="_Toc19535_WPSOffice_Level2"/>
      <w:bookmarkStart w:id="88" w:name="_Toc27767_WPSOffice_Level2"/>
      <w:bookmarkStart w:id="89" w:name="_Toc2711_WPSOffice_Level2"/>
      <w:bookmarkStart w:id="90" w:name="_Toc23864_WPSOffice_Level2"/>
      <w:bookmarkStart w:id="91" w:name="_Toc19075_WPSOffice_Level2"/>
      <w:bookmarkStart w:id="92" w:name="_Toc18793_WPSOffice_Level2"/>
      <w:r>
        <w:rPr>
          <w:rFonts w:hint="eastAsia" w:ascii="楷体" w:hAnsi="楷体" w:eastAsia="楷体" w:cs="楷体"/>
          <w:sz w:val="32"/>
          <w:szCs w:val="32"/>
        </w:rPr>
        <w:t>（二）一般公共预算财政拨款支出决算结构情况</w:t>
      </w:r>
      <w:bookmarkEnd w:id="87"/>
      <w:bookmarkEnd w:id="88"/>
      <w:bookmarkEnd w:id="89"/>
      <w:bookmarkEnd w:id="90"/>
      <w:bookmarkEnd w:id="91"/>
      <w:bookmarkEnd w:id="9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年度一般公共预算财政拨款支出</w:t>
      </w:r>
      <w:r>
        <w:rPr>
          <w:rFonts w:hint="default" w:ascii="仿宋_GB2312" w:hAnsi="ˎ̥" w:eastAsia="仿宋_GB2312"/>
          <w:color w:val="000000" w:themeColor="text1"/>
          <w:sz w:val="32"/>
          <w:szCs w:val="32"/>
          <w:lang w:val="en-US"/>
          <w14:textFill>
            <w14:solidFill>
              <w14:schemeClr w14:val="tx1"/>
            </w14:solidFill>
          </w14:textFill>
        </w:rPr>
        <w:t>3,681.09</w:t>
      </w:r>
      <w:r>
        <w:rPr>
          <w:rFonts w:hint="eastAsia" w:ascii="仿宋_GB2312" w:hAnsi="ˎ̥" w:eastAsia="仿宋_GB2312"/>
          <w:color w:val="000000" w:themeColor="text1"/>
          <w:sz w:val="32"/>
          <w:szCs w:val="32"/>
          <w14:textFill>
            <w14:solidFill>
              <w14:schemeClr w14:val="tx1"/>
            </w14:solidFill>
          </w14:textFill>
        </w:rPr>
        <w:t>万元，主要用于以下方面：</w:t>
      </w:r>
      <w:r>
        <w:rPr>
          <w:rFonts w:hint="eastAsia" w:ascii="仿宋_GB2312" w:hAnsi="ˎ̥" w:eastAsia="仿宋_GB2312"/>
          <w:b/>
          <w:color w:val="000000" w:themeColor="text1"/>
          <w:sz w:val="32"/>
          <w:szCs w:val="32"/>
          <w14:textFill>
            <w14:solidFill>
              <w14:schemeClr w14:val="tx1"/>
            </w14:solidFill>
          </w14:textFill>
        </w:rPr>
        <w:t>一般公共服务（类）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1763.04</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47.9</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b/>
          <w:color w:val="000000" w:themeColor="text1"/>
          <w:sz w:val="32"/>
          <w:szCs w:val="32"/>
          <w14:textFill>
            <w14:solidFill>
              <w14:schemeClr w14:val="tx1"/>
            </w14:solidFill>
          </w14:textFill>
        </w:rPr>
        <w:t>社会保障和就业（类）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62.92</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1.71</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b/>
          <w:bCs/>
          <w:color w:val="000000" w:themeColor="text1"/>
          <w:sz w:val="32"/>
          <w:szCs w:val="32"/>
          <w14:textFill>
            <w14:solidFill>
              <w14:schemeClr w14:val="tx1"/>
            </w14:solidFill>
          </w14:textFill>
        </w:rPr>
        <w:t>住房保障（类）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40.51</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1.1</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bookmarkStart w:id="93" w:name="_Toc9502_WPSOffice_Level2"/>
      <w:bookmarkStart w:id="94" w:name="_Toc29364_WPSOffice_Level2"/>
      <w:bookmarkStart w:id="95" w:name="_Toc21701_WPSOffice_Level2"/>
      <w:bookmarkStart w:id="96" w:name="_Toc22318_WPSOffice_Level2"/>
      <w:bookmarkStart w:id="97" w:name="_Toc25136_WPSOffice_Level2"/>
      <w:bookmarkStart w:id="98" w:name="_Toc15415_WPSOffice_Level2"/>
      <w:r>
        <w:rPr>
          <w:rFonts w:hint="eastAsia" w:ascii="楷体" w:hAnsi="楷体" w:eastAsia="楷体" w:cs="楷体"/>
          <w:color w:val="000000" w:themeColor="text1"/>
          <w:sz w:val="32"/>
          <w:szCs w:val="32"/>
          <w14:textFill>
            <w14:solidFill>
              <w14:schemeClr w14:val="tx1"/>
            </w14:solidFill>
          </w14:textFill>
        </w:rPr>
        <w:t>（三）一般公共预算财政拨款支出决算具体情况</w:t>
      </w:r>
      <w:bookmarkEnd w:id="93"/>
      <w:bookmarkEnd w:id="94"/>
      <w:bookmarkEnd w:id="95"/>
      <w:bookmarkEnd w:id="96"/>
      <w:bookmarkEnd w:id="97"/>
      <w:bookmarkEnd w:id="9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年度一般公共预算财政拨款支出年初预算为</w:t>
      </w:r>
      <w:r>
        <w:rPr>
          <w:rFonts w:hint="eastAsia" w:ascii="仿宋_GB2312" w:hAnsi="ˎ̥" w:eastAsia="仿宋_GB2312"/>
          <w:color w:val="000000" w:themeColor="text1"/>
          <w:sz w:val="32"/>
          <w:szCs w:val="32"/>
          <w:lang w:val="en-US" w:eastAsia="zh-CN"/>
          <w14:textFill>
            <w14:solidFill>
              <w14:schemeClr w14:val="tx1"/>
            </w14:solidFill>
          </w14:textFill>
        </w:rPr>
        <w:t>3735.14</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3,681.09</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98.6</w:t>
      </w:r>
      <w:r>
        <w:rPr>
          <w:rFonts w:hint="eastAsia" w:ascii="仿宋_GB2312" w:hAnsi="ˎ̥" w:eastAsia="仿宋_GB2312"/>
          <w:color w:val="000000" w:themeColor="text1"/>
          <w:sz w:val="32"/>
          <w:szCs w:val="32"/>
          <w14:textFill>
            <w14:solidFill>
              <w14:schemeClr w14:val="tx1"/>
            </w14:solidFill>
          </w14:textFill>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w:t>
      </w:r>
      <w:r>
        <w:rPr>
          <w:rFonts w:hint="eastAsia" w:ascii="仿宋_GB2312" w:hAnsi="ˎ̥" w:eastAsia="仿宋_GB2312"/>
          <w:b/>
          <w:color w:val="auto"/>
          <w:sz w:val="32"/>
          <w:szCs w:val="32"/>
        </w:rPr>
        <w:t>一般公共服务（类）人大事务（款）行政运行（项）。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%。决算数大于（小于）预算数的主要原因：</w:t>
      </w:r>
      <w:r>
        <w:rPr>
          <w:rFonts w:hint="eastAsia" w:ascii="仿宋_GB2312" w:hAnsi="ˎ̥" w:eastAsia="仿宋_GB2312"/>
          <w:color w:val="auto"/>
          <w:sz w:val="32"/>
          <w:szCs w:val="32"/>
          <w:lang w:val="en-US" w:eastAsia="zh-CN"/>
        </w:rPr>
        <w:t>财政局无涉及该笔资金。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本部分支出决算数可取自财决公开05表，年初预算数可取自各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单位年初预算大本，根据实际支出涉及的支出功能分类项级科目填列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0.00</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540.98</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auto"/>
          <w:sz w:val="32"/>
          <w:szCs w:val="32"/>
          <w:lang w:val="en-US"/>
        </w:rPr>
        <w:t>33.24</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可取自财决公开06表，各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万元，增长（下降）</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万元，主要用于以下方面：</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1.</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（类）</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（款）</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决算相关数据取自财决公开07表；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lang w:val="en-US" w:eastAsia="zh-CN"/>
        </w:rPr>
        <w:t>年度部门决算报表</w:t>
      </w:r>
      <w:r>
        <w:rPr>
          <w:rFonts w:hint="eastAsia" w:ascii="仿宋_GB2312" w:hAnsi="ˎ̥" w:eastAsia="仿宋_GB2312"/>
          <w:color w:val="auto"/>
          <w:sz w:val="32"/>
          <w:szCs w:val="32"/>
        </w:rPr>
        <w:t>财决09表《政府性基金预算财政拨款收入支出决算表》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年度相比，国有资本经营预算财政拨款支出增加（减少）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万元，增长（下降）</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万元，主要用于以下方面：</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（类）</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（款）</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决算相关数据取自财决公开08表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2.39</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2.39</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“三公”经费支出增加</w:t>
      </w:r>
      <w:r>
        <w:rPr>
          <w:rFonts w:hint="eastAsia" w:ascii="仿宋_GB2312" w:hAnsi="ˎ̥" w:eastAsia="仿宋_GB2312"/>
          <w:color w:val="auto"/>
          <w:sz w:val="32"/>
          <w:szCs w:val="32"/>
          <w:lang w:val="en-US" w:eastAsia="zh-CN"/>
        </w:rPr>
        <w:t>0.01</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0.42</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_GB2312" w:hAnsi="ˎ̥" w:eastAsia="仿宋_GB2312"/>
          <w:color w:val="auto"/>
          <w:sz w:val="32"/>
          <w:szCs w:val="32"/>
          <w:lang w:eastAsia="zh-CN"/>
        </w:rPr>
        <w:t>当年开展财政监督工作任务繁重，使用公车较为频繁，加之对油价浮动因素等原因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2.39</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万元。全年安排因公出国（境）团组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个，因公出国（境）</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人次。主要用于</w:t>
      </w:r>
      <w:r>
        <w:rPr>
          <w:rFonts w:hint="eastAsia" w:ascii="仿宋_GB2312" w:hAnsi="ˎ̥" w:eastAsia="仿宋_GB2312"/>
          <w:color w:val="auto"/>
          <w:sz w:val="32"/>
          <w:szCs w:val="32"/>
          <w:lang w:val="en-US" w:eastAsia="zh-CN"/>
        </w:rPr>
        <w:t>无涉及此项资金。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因公出国（境）费支出决算</w:t>
      </w:r>
      <w:r>
        <w:rPr>
          <w:rFonts w:hint="eastAsia" w:ascii="仿宋_GB2312" w:hAnsi="ˎ̥" w:eastAsia="仿宋_GB2312"/>
          <w:color w:val="auto"/>
          <w:sz w:val="32"/>
          <w:szCs w:val="32"/>
          <w:lang w:val="en-US" w:eastAsia="zh-CN"/>
        </w:rPr>
        <w:t>数</w:t>
      </w:r>
      <w:r>
        <w:rPr>
          <w:rFonts w:hint="eastAsia" w:ascii="仿宋_GB2312" w:hAnsi="ˎ̥" w:eastAsia="仿宋_GB2312"/>
          <w:color w:val="auto"/>
          <w:sz w:val="32"/>
          <w:szCs w:val="32"/>
        </w:rPr>
        <w:t>比预算</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default"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因公出国（境）费支出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2.39</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万元，全年购置公务用车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辆，年末公务用车保有量</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2.39</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bCs/>
          <w:color w:val="auto"/>
          <w:sz w:val="32"/>
          <w:szCs w:val="32"/>
        </w:rPr>
        <w:t>公务用车购置及运行维护费支出决算数</w:t>
      </w:r>
      <w:r>
        <w:rPr>
          <w:rFonts w:hint="eastAsia" w:ascii="仿宋_GB2312" w:hAnsi="ˎ̥" w:eastAsia="仿宋_GB2312"/>
          <w:color w:val="auto"/>
          <w:sz w:val="32"/>
          <w:szCs w:val="32"/>
        </w:rPr>
        <w:t>比预算数</w:t>
      </w:r>
      <w:r>
        <w:rPr>
          <w:rFonts w:hint="eastAsia" w:ascii="仿宋_GB2312" w:hAnsi="ˎ̥" w:eastAsia="仿宋_GB2312"/>
          <w:color w:val="auto"/>
          <w:sz w:val="32"/>
          <w:szCs w:val="32"/>
          <w:lang w:val="en-US" w:eastAsia="zh-CN"/>
        </w:rPr>
        <w:t>2.39</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完成预算的100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公务用车购置及运行维护费</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0.01</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0.42</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_GB2312" w:hAnsi="ˎ̥" w:eastAsia="仿宋_GB2312"/>
          <w:color w:val="auto"/>
          <w:sz w:val="32"/>
          <w:szCs w:val="32"/>
          <w:lang w:eastAsia="zh-CN"/>
        </w:rPr>
        <w:t>当年开展财政监督工作任务繁重，使用公车较为频繁，加之对油价浮动因素等原因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3.公务接待费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b/>
          <w:color w:val="auto"/>
          <w:sz w:val="32"/>
          <w:szCs w:val="32"/>
        </w:rPr>
        <w:t>国内接待费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万元，国内公务接待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无涉及此项资金。</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国（境）外接待费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万元，国（境）外公务接待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人次；主要</w:t>
      </w:r>
      <w:r>
        <w:rPr>
          <w:rFonts w:hint="eastAsia" w:ascii="仿宋_GB2312" w:hAnsi="ˎ̥" w:eastAsia="仿宋_GB2312"/>
          <w:color w:val="auto"/>
          <w:sz w:val="32"/>
          <w:szCs w:val="32"/>
          <w:lang w:val="en-US" w:eastAsia="zh-CN"/>
        </w:rPr>
        <w:t>原因是无涉及此项资金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公务接待费支出决算数比预算数</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无涉及此项资金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w:t>
      </w:r>
      <w:r>
        <w:rPr>
          <w:rFonts w:ascii="仿宋_GB2312" w:hAnsi="ˎ̥" w:eastAsia="仿宋_GB2312"/>
          <w:color w:val="auto"/>
          <w:sz w:val="32"/>
          <w:szCs w:val="32"/>
        </w:rPr>
        <w:t>数据</w:t>
      </w:r>
      <w:r>
        <w:rPr>
          <w:rFonts w:hint="eastAsia" w:ascii="仿宋_GB2312" w:hAnsi="ˎ̥" w:eastAsia="仿宋_GB2312"/>
          <w:color w:val="auto"/>
          <w:sz w:val="32"/>
          <w:szCs w:val="32"/>
        </w:rPr>
        <w:t>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部门决算报表</w:t>
      </w:r>
      <w:r>
        <w:rPr>
          <w:rFonts w:hint="eastAsia" w:ascii="仿宋_GB2312" w:hAnsi="ˎ̥" w:eastAsia="仿宋_GB2312"/>
          <w:color w:val="auto"/>
          <w:sz w:val="32"/>
          <w:szCs w:val="32"/>
        </w:rPr>
        <w:t>F03表《机构</w:t>
      </w:r>
      <w:r>
        <w:rPr>
          <w:rFonts w:ascii="仿宋_GB2312" w:hAnsi="ˎ̥" w:eastAsia="仿宋_GB2312"/>
          <w:color w:val="auto"/>
          <w:sz w:val="32"/>
          <w:szCs w:val="32"/>
        </w:rPr>
        <w:t>运行信息表》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根据财政预算绩效管理要求，可按照如下格式说明：根据预算管理要求，我部门（单位）组织对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共涉及资金393.86万元，占一般公共预算项目支出总额的12.67%</w:t>
      </w:r>
      <w:r>
        <w:rPr>
          <w:rFonts w:hint="eastAsia" w:ascii="仿宋_GB2312" w:eastAsia="仿宋_GB2312"/>
          <w:color w:val="auto"/>
          <w:sz w:val="32"/>
          <w:szCs w:val="32"/>
        </w:rPr>
        <w:t>。</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年度政府性基金预算项目开展绩效自评，共涉及资金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万元，占政府性基金预算项目支出总额的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 xml:space="preserve">年度国有资本经营预算项目开展绩效自评，共涉及资金 </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万元，占国有资本经营预算项目支出总额的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w:t>
      </w:r>
    </w:p>
    <w:p>
      <w:pPr>
        <w:spacing w:line="578"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共组织对“</w:t>
      </w:r>
      <w:r>
        <w:rPr>
          <w:rFonts w:hint="eastAsia" w:ascii="仿宋_GB2312" w:eastAsia="仿宋_GB2312"/>
          <w:color w:val="auto"/>
          <w:sz w:val="32"/>
          <w:szCs w:val="32"/>
          <w:lang w:val="en-US" w:eastAsia="zh-CN"/>
        </w:rPr>
        <w:t>投资评审</w:t>
      </w:r>
      <w:r>
        <w:rPr>
          <w:rFonts w:hint="eastAsia" w:ascii="仿宋_GB2312" w:eastAsia="仿宋_GB2312"/>
          <w:color w:val="auto"/>
          <w:sz w:val="32"/>
          <w:szCs w:val="32"/>
        </w:rPr>
        <w:t>”等</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个项目开展了部门评价，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rPr>
        <w:t>393.86</w:t>
      </w:r>
      <w:r>
        <w:rPr>
          <w:rFonts w:hint="eastAsia" w:ascii="仿宋_GB2312" w:eastAsia="仿宋_GB2312"/>
          <w:color w:val="auto"/>
          <w:sz w:val="32"/>
          <w:szCs w:val="32"/>
          <w:lang w:bidi="ar"/>
        </w:rPr>
        <w:t>万元，政府性基金预算支出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万元，国有资本经营预算支出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w:t>
      </w:r>
      <w:r>
        <w:rPr>
          <w:rFonts w:hint="eastAsia" w:ascii="仿宋_GB2312" w:eastAsia="仿宋_GB2312"/>
          <w:color w:val="auto"/>
          <w:sz w:val="32"/>
          <w:szCs w:val="32"/>
        </w:rPr>
        <w:t>从评价情况来看，</w:t>
      </w:r>
      <w:r>
        <w:rPr>
          <w:rFonts w:hint="eastAsia" w:ascii="仿宋_GB2312" w:eastAsia="仿宋_GB2312"/>
          <w:color w:val="auto"/>
          <w:sz w:val="32"/>
          <w:szCs w:val="32"/>
          <w:lang w:eastAsia="zh-CN"/>
        </w:rPr>
        <w:t>本部门对项目进行了绩效，对项目进行绩效申报、审核、监控、自评</w:t>
      </w:r>
      <w:r>
        <w:rPr>
          <w:rFonts w:hint="eastAsia" w:ascii="仿宋_GB2312" w:eastAsia="仿宋_GB2312"/>
          <w:color w:val="auto"/>
          <w:sz w:val="32"/>
          <w:szCs w:val="32"/>
        </w:rPr>
        <w:t>。</w:t>
      </w:r>
    </w:p>
    <w:p>
      <w:pPr>
        <w:spacing w:line="578"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完成部门整体支出绩效评价，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rPr>
        <w:t>393.86</w:t>
      </w:r>
      <w:r>
        <w:rPr>
          <w:rFonts w:hint="eastAsia" w:ascii="仿宋_GB2312" w:eastAsia="仿宋_GB2312"/>
          <w:color w:val="auto"/>
          <w:sz w:val="32"/>
          <w:szCs w:val="32"/>
          <w:lang w:bidi="ar"/>
        </w:rPr>
        <w:t>万元，政府性基金预算支出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w:t>
      </w:r>
      <w:r>
        <w:rPr>
          <w:rFonts w:hint="eastAsia" w:ascii="仿宋_GB2312" w:eastAsia="仿宋_GB2312"/>
          <w:color w:val="auto"/>
          <w:sz w:val="32"/>
          <w:szCs w:val="32"/>
        </w:rPr>
        <w:t>从评价情况来看，</w:t>
      </w:r>
      <w:r>
        <w:rPr>
          <w:rFonts w:hint="eastAsia" w:ascii="仿宋_GB2312" w:eastAsia="仿宋_GB2312"/>
          <w:color w:val="auto"/>
          <w:sz w:val="32"/>
          <w:szCs w:val="32"/>
          <w:lang w:eastAsia="zh-CN"/>
        </w:rPr>
        <w:t>那曲市色尼区财政局基本能够按照绩效要求开展绩效评价工作，距整体绩效评价存在一定差距。</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color w:val="auto"/>
          <w:sz w:val="32"/>
          <w:szCs w:val="32"/>
        </w:rPr>
      </w:pPr>
      <w:r>
        <w:rPr>
          <w:rFonts w:hint="eastAsia" w:ascii="楷体" w:hAnsi="楷体" w:eastAsia="楷体" w:cs="楷体"/>
          <w:bCs/>
          <w:color w:val="auto"/>
          <w:sz w:val="32"/>
          <w:szCs w:val="32"/>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参照如下格式说明（表述应与决算内容保持一致）：我部门（单位）在部门决算中反映</w:t>
      </w:r>
      <w:r>
        <w:rPr>
          <w:rFonts w:hint="eastAsia" w:ascii="仿宋_GB2312" w:eastAsia="仿宋_GB2312"/>
          <w:color w:val="auto"/>
          <w:sz w:val="32"/>
          <w:szCs w:val="32"/>
          <w:lang w:val="en-US" w:eastAsia="zh-CN"/>
        </w:rPr>
        <w:t>投资评审</w:t>
      </w:r>
      <w:r>
        <w:rPr>
          <w:rFonts w:hint="eastAsia" w:ascii="仿宋_GB2312" w:eastAsia="仿宋_GB2312"/>
          <w:color w:val="auto"/>
          <w:sz w:val="32"/>
          <w:szCs w:val="32"/>
        </w:rPr>
        <w:t>等</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项目绩效自评表：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95</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393.96</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393.96</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部门评价项目数量在3个以内的，至少将1个部门评价报告向社会公开；部门评价项目数量大于3个的，至少将2个部门评价报告向社会公开。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zh-CN"/>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9" w:name="_Toc18325_WPSOffice_Level2"/>
      <w:bookmarkStart w:id="100" w:name="_Toc15565_WPSOffice_Level2"/>
      <w:bookmarkStart w:id="101" w:name="_Toc5978_WPSOffice_Level2"/>
      <w:bookmarkStart w:id="102" w:name="_Toc32639_WPSOffice_Level2"/>
      <w:bookmarkStart w:id="103" w:name="_Toc15262_WPSOffice_Level2"/>
      <w:bookmarkStart w:id="104" w:name="_Toc23598_WPSOffice_Level2"/>
      <w:r>
        <w:rPr>
          <w:rFonts w:hint="eastAsia" w:ascii="楷体" w:hAnsi="楷体" w:eastAsia="楷体" w:cs="楷体"/>
          <w:bCs/>
          <w:color w:val="auto"/>
          <w:sz w:val="32"/>
          <w:szCs w:val="32"/>
        </w:rPr>
        <w:t>（一）机关运行经费支出情况</w:t>
      </w:r>
      <w:bookmarkEnd w:id="99"/>
      <w:bookmarkEnd w:id="100"/>
      <w:bookmarkEnd w:id="101"/>
      <w:bookmarkEnd w:id="102"/>
      <w:bookmarkEnd w:id="103"/>
      <w:bookmarkEnd w:id="10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bidi="ar"/>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本</w:t>
      </w:r>
      <w:r>
        <w:rPr>
          <w:rFonts w:hint="eastAsia" w:ascii="仿宋_GB2312" w:hAnsi="ˎ̥" w:eastAsia="仿宋_GB2312"/>
          <w:color w:val="auto"/>
          <w:sz w:val="32"/>
          <w:szCs w:val="32"/>
        </w:rPr>
        <w:t>部门（单位）机关运行经费</w:t>
      </w:r>
      <w:r>
        <w:rPr>
          <w:rFonts w:hint="eastAsia" w:ascii="仿宋_GB2312" w:hAnsi="ˎ̥" w:eastAsia="仿宋_GB2312"/>
          <w:color w:val="auto"/>
          <w:sz w:val="32"/>
          <w:szCs w:val="32"/>
          <w:lang w:val="en-US" w:eastAsia="zh-CN"/>
        </w:rPr>
        <w:t>26.2</w:t>
      </w:r>
      <w:r>
        <w:rPr>
          <w:rFonts w:hint="eastAsia" w:ascii="仿宋_GB2312" w:hAnsi="ˎ̥" w:eastAsia="仿宋_GB2312"/>
          <w:color w:val="auto"/>
          <w:sz w:val="32"/>
          <w:szCs w:val="32"/>
        </w:rPr>
        <w:t>万元（为部门决算中行政单位和参公事业单位财政拨款基本支出中公用经费支出之和，事业单位没有机关运行经费支出），比年初预算</w:t>
      </w:r>
      <w:r>
        <w:rPr>
          <w:rFonts w:hint="eastAsia" w:ascii="仿宋_GB2312" w:hAnsi="ˎ̥" w:eastAsia="仿宋_GB2312"/>
          <w:color w:val="auto"/>
          <w:sz w:val="32"/>
          <w:szCs w:val="32"/>
          <w:lang w:val="en-US" w:eastAsia="zh-CN"/>
        </w:rPr>
        <w:t>数26.2</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完成预算的100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增加</w:t>
      </w:r>
      <w:r>
        <w:rPr>
          <w:rFonts w:hint="eastAsia" w:ascii="仿宋_GB2312" w:hAnsi="ˎ̥" w:eastAsia="仿宋_GB2312"/>
          <w:color w:val="auto"/>
          <w:sz w:val="32"/>
          <w:szCs w:val="32"/>
          <w:lang w:val="en-US" w:eastAsia="zh-CN"/>
        </w:rPr>
        <w:t>4.14</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增长18.77%。</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一是因组织人员调整。二是2024年度增加干部职工用氧经费资金</w:t>
      </w:r>
      <w:r>
        <w:rPr>
          <w:rFonts w:hint="eastAsia" w:ascii="仿宋_GB2312" w:hAnsi="ˎ̥" w:eastAsia="仿宋_GB2312"/>
          <w:color w:val="auto"/>
          <w:sz w:val="32"/>
          <w:szCs w:val="32"/>
          <w:lang w:bidi="ar"/>
        </w:rPr>
        <w:t>等</w:t>
      </w:r>
      <w:r>
        <w:rPr>
          <w:rFonts w:hint="eastAsia" w:ascii="仿宋_GB2312" w:hAnsi="ˎ̥" w:eastAsia="仿宋_GB2312"/>
          <w:color w:val="auto"/>
          <w:sz w:val="32"/>
          <w:szCs w:val="32"/>
          <w:lang w:val="en-US" w:eastAsia="zh-CN" w:bidi="ar"/>
        </w:rPr>
        <w:t>原因机关运行经费支出增加。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（具体增减原因由</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单位根据实际情况填列）。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5" w:name="_Toc3131_WPSOffice_Level2"/>
      <w:bookmarkStart w:id="106" w:name="_Toc25333_WPSOffice_Level2"/>
      <w:bookmarkStart w:id="107" w:name="_Toc13084_WPSOffice_Level2"/>
      <w:bookmarkStart w:id="108" w:name="_Toc32689_WPSOffice_Level2"/>
      <w:bookmarkStart w:id="109" w:name="_Toc30383_WPSOffice_Level2"/>
      <w:bookmarkStart w:id="110" w:name="_Toc23966_WPSOffice_Level2"/>
      <w:r>
        <w:rPr>
          <w:rFonts w:hint="eastAsia" w:ascii="楷体" w:hAnsi="楷体" w:eastAsia="楷体" w:cs="楷体"/>
          <w:bCs/>
          <w:color w:val="auto"/>
          <w:sz w:val="32"/>
          <w:szCs w:val="32"/>
        </w:rPr>
        <w:t>（二）政府采购支出情况</w:t>
      </w:r>
      <w:bookmarkEnd w:id="105"/>
      <w:bookmarkEnd w:id="106"/>
      <w:bookmarkEnd w:id="107"/>
      <w:bookmarkEnd w:id="108"/>
      <w:bookmarkEnd w:id="109"/>
      <w:bookmarkEnd w:id="11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部门（单位）政府采购支出总额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上述政府采购支出相关</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11" w:name="_Toc15129_WPSOffice_Level2"/>
      <w:bookmarkStart w:id="112" w:name="_Toc6016_WPSOffice_Level2"/>
      <w:bookmarkStart w:id="113" w:name="_Toc19989_WPSOffice_Level2"/>
      <w:bookmarkStart w:id="114" w:name="_Toc10902_WPSOffice_Level2"/>
      <w:bookmarkStart w:id="115" w:name="_Toc527_WPSOffice_Level2"/>
      <w:bookmarkStart w:id="116" w:name="_Toc29584_WPSOffice_Level2"/>
      <w:r>
        <w:rPr>
          <w:rFonts w:hint="eastAsia" w:ascii="楷体" w:hAnsi="楷体" w:eastAsia="楷体" w:cs="楷体"/>
          <w:bCs/>
          <w:color w:val="auto"/>
          <w:sz w:val="32"/>
          <w:szCs w:val="32"/>
        </w:rPr>
        <w:t>（三）国有资产占用情况</w:t>
      </w:r>
      <w:bookmarkEnd w:id="111"/>
      <w:bookmarkEnd w:id="112"/>
      <w:bookmarkEnd w:id="113"/>
      <w:bookmarkEnd w:id="114"/>
      <w:bookmarkEnd w:id="115"/>
      <w:bookmarkEnd w:id="11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5947.58</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辆，其他用车主要是</w:t>
      </w:r>
      <w:r>
        <w:rPr>
          <w:rFonts w:hint="eastAsia" w:ascii="仿宋_GB2312" w:hAnsi="ˎ̥" w:eastAsia="仿宋_GB2312"/>
          <w:color w:val="auto"/>
          <w:sz w:val="32"/>
          <w:szCs w:val="32"/>
          <w:lang w:val="en-US" w:eastAsia="zh-CN"/>
        </w:rPr>
        <w:t>财政监督检查</w:t>
      </w:r>
      <w:r>
        <w:rPr>
          <w:rFonts w:hint="eastAsia" w:ascii="仿宋_GB2312" w:hAnsi="ˎ̥" w:eastAsia="仿宋_GB2312"/>
          <w:color w:val="auto"/>
          <w:sz w:val="32"/>
          <w:szCs w:val="32"/>
          <w:lang w:eastAsia="zh-CN"/>
        </w:rPr>
        <w:t>下乡用车</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上述国有资产占用情况相关数</w:t>
      </w:r>
      <w:r>
        <w:rPr>
          <w:rFonts w:hint="eastAsia" w:ascii="仿宋_GB2312" w:hAnsi="ˎ̥" w:eastAsia="仿宋_GB2312"/>
          <w:color w:val="auto"/>
          <w:sz w:val="32"/>
          <w:szCs w:val="32"/>
          <w:lang w:val="en-US" w:eastAsia="zh-CN"/>
        </w:rPr>
        <w:t>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年度部门决算F0</w:t>
      </w:r>
      <w:r>
        <w:rPr>
          <w:rFonts w:hint="default" w:ascii="仿宋_GB2312" w:hAnsi="ˎ̥" w:eastAsia="仿宋_GB2312"/>
          <w:color w:val="auto"/>
          <w:sz w:val="32"/>
          <w:szCs w:val="32"/>
          <w:lang w:val="en-US"/>
        </w:rPr>
        <w:t>2</w:t>
      </w:r>
      <w:r>
        <w:rPr>
          <w:rFonts w:hint="eastAsia" w:ascii="仿宋_GB2312" w:hAnsi="ˎ̥" w:eastAsia="仿宋_GB2312"/>
          <w:color w:val="auto"/>
          <w:sz w:val="32"/>
          <w:szCs w:val="32"/>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bookmarkStart w:id="117" w:name="_Toc4398_WPSOffice_Level1"/>
      <w:bookmarkStart w:id="118" w:name="_Toc8808_WPSOffice_Level1"/>
      <w:bookmarkStart w:id="119" w:name="_Toc15425_WPSOffice_Level1"/>
      <w:bookmarkStart w:id="120" w:name="_Toc11039_WPSOffice_Level1"/>
      <w:bookmarkStart w:id="121" w:name="_Toc8874_WPSOffice_Level1"/>
      <w:bookmarkStart w:id="122" w:name="_Toc17580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117"/>
      <w:bookmarkEnd w:id="118"/>
      <w:bookmarkEnd w:id="119"/>
      <w:bookmarkEnd w:id="120"/>
      <w:bookmarkEnd w:id="121"/>
      <w:bookmarkEnd w:id="122"/>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十六、</w:t>
      </w:r>
      <w:r>
        <w:rPr>
          <w:rFonts w:ascii="仿宋_GB2312" w:hAnsi="ˎ̥" w:eastAsia="仿宋_GB2312"/>
          <w:color w:val="auto"/>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支出功能分类的名词解释，各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单位根据实际支出情况填列，可参阅财政部印</w:t>
      </w:r>
      <w:bookmarkStart w:id="123" w:name="_GoBack"/>
      <w:bookmarkEnd w:id="123"/>
      <w:r>
        <w:rPr>
          <w:rFonts w:hint="eastAsia" w:ascii="仿宋_GB2312" w:hAnsi="ˎ̥" w:eastAsia="仿宋_GB2312"/>
          <w:color w:val="auto"/>
          <w:sz w:val="32"/>
          <w:szCs w:val="32"/>
        </w:rPr>
        <w:t>发的《</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年政府收支分类科目》</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1BFE73C0"/>
    <w:multiLevelType w:val="singleLevel"/>
    <w:tmpl w:val="1BFE73C0"/>
    <w:lvl w:ilvl="0" w:tentative="0">
      <w:start w:val="1"/>
      <w:numFmt w:val="chineseCounting"/>
      <w:suff w:val="nothing"/>
      <w:lvlText w:val="（%1）"/>
      <w:lvlJc w:val="left"/>
      <w:rPr>
        <w:rFonts w:hint="eastAsia"/>
      </w:rPr>
    </w:lvl>
  </w:abstractNum>
  <w:abstractNum w:abstractNumId="2">
    <w:nsid w:val="70F5E312"/>
    <w:multiLevelType w:val="singleLevel"/>
    <w:tmpl w:val="70F5E312"/>
    <w:lvl w:ilvl="0" w:tentative="0">
      <w:start w:val="1"/>
      <w:numFmt w:val="chineseCounting"/>
      <w:suff w:val="nothing"/>
      <w:lvlText w:val="%1、"/>
      <w:lvlJc w:val="left"/>
      <w:rPr>
        <w:rFonts w:hint="eastAsia"/>
      </w:rPr>
    </w:lvl>
  </w:abstractNum>
  <w:abstractNum w:abstractNumId="3">
    <w:nsid w:val="72109F8D"/>
    <w:multiLevelType w:val="singleLevel"/>
    <w:tmpl w:val="72109F8D"/>
    <w:lvl w:ilvl="0" w:tentative="0">
      <w:start w:val="7"/>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A1716"/>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A14B3"/>
    <w:rsid w:val="00DB612B"/>
    <w:rsid w:val="00DC2A37"/>
    <w:rsid w:val="00DC6F0E"/>
    <w:rsid w:val="00E07782"/>
    <w:rsid w:val="00E70EA3"/>
    <w:rsid w:val="00EC1847"/>
    <w:rsid w:val="00F0336A"/>
    <w:rsid w:val="00F06DA9"/>
    <w:rsid w:val="00F103D6"/>
    <w:rsid w:val="00F25220"/>
    <w:rsid w:val="00F810D1"/>
    <w:rsid w:val="00FA2884"/>
    <w:rsid w:val="00FC03DC"/>
    <w:rsid w:val="00FC5708"/>
    <w:rsid w:val="011054C6"/>
    <w:rsid w:val="011D29DA"/>
    <w:rsid w:val="013E0E49"/>
    <w:rsid w:val="015617E9"/>
    <w:rsid w:val="0175282E"/>
    <w:rsid w:val="01CE466F"/>
    <w:rsid w:val="029C3E35"/>
    <w:rsid w:val="02A22FD2"/>
    <w:rsid w:val="02E471DD"/>
    <w:rsid w:val="03DF5426"/>
    <w:rsid w:val="041D1EB1"/>
    <w:rsid w:val="041F5992"/>
    <w:rsid w:val="04301D2A"/>
    <w:rsid w:val="04637166"/>
    <w:rsid w:val="048523B8"/>
    <w:rsid w:val="04C4460E"/>
    <w:rsid w:val="04C55097"/>
    <w:rsid w:val="04F07D4B"/>
    <w:rsid w:val="04F44ABD"/>
    <w:rsid w:val="050F235F"/>
    <w:rsid w:val="05154BD0"/>
    <w:rsid w:val="06940304"/>
    <w:rsid w:val="072F3627"/>
    <w:rsid w:val="073C4B80"/>
    <w:rsid w:val="07536506"/>
    <w:rsid w:val="0766015A"/>
    <w:rsid w:val="076A3C82"/>
    <w:rsid w:val="07E51CBE"/>
    <w:rsid w:val="07F52D48"/>
    <w:rsid w:val="085843E8"/>
    <w:rsid w:val="085A605B"/>
    <w:rsid w:val="087047B3"/>
    <w:rsid w:val="08A27977"/>
    <w:rsid w:val="09093C00"/>
    <w:rsid w:val="091D410A"/>
    <w:rsid w:val="09201287"/>
    <w:rsid w:val="09320EF8"/>
    <w:rsid w:val="098F0B1D"/>
    <w:rsid w:val="0A145645"/>
    <w:rsid w:val="0A8D0A6B"/>
    <w:rsid w:val="0A9419C2"/>
    <w:rsid w:val="0AB86BB2"/>
    <w:rsid w:val="0AF03D38"/>
    <w:rsid w:val="0B0000F6"/>
    <w:rsid w:val="0B2F17BA"/>
    <w:rsid w:val="0B5427A5"/>
    <w:rsid w:val="0BBF3FF2"/>
    <w:rsid w:val="0BC62BD9"/>
    <w:rsid w:val="0BFD2187"/>
    <w:rsid w:val="0C057A66"/>
    <w:rsid w:val="0C1477BF"/>
    <w:rsid w:val="0C935287"/>
    <w:rsid w:val="0D4C44AA"/>
    <w:rsid w:val="0D6721C8"/>
    <w:rsid w:val="0D844EF2"/>
    <w:rsid w:val="0D9B4516"/>
    <w:rsid w:val="0DB041FB"/>
    <w:rsid w:val="0DE66D03"/>
    <w:rsid w:val="0DF07D51"/>
    <w:rsid w:val="0E13270E"/>
    <w:rsid w:val="0E3C5131"/>
    <w:rsid w:val="0E5537E4"/>
    <w:rsid w:val="0E6A76E7"/>
    <w:rsid w:val="0E6A7D13"/>
    <w:rsid w:val="0EB37B7C"/>
    <w:rsid w:val="0EE17609"/>
    <w:rsid w:val="0EEA7055"/>
    <w:rsid w:val="0F1A3507"/>
    <w:rsid w:val="0F5D7DFA"/>
    <w:rsid w:val="0F8B3A0B"/>
    <w:rsid w:val="0FA80CE6"/>
    <w:rsid w:val="0FC2442E"/>
    <w:rsid w:val="0FC80124"/>
    <w:rsid w:val="0FE4096C"/>
    <w:rsid w:val="103A368B"/>
    <w:rsid w:val="10421853"/>
    <w:rsid w:val="104F027F"/>
    <w:rsid w:val="10566A10"/>
    <w:rsid w:val="106803CE"/>
    <w:rsid w:val="10C94272"/>
    <w:rsid w:val="10D43C9A"/>
    <w:rsid w:val="10D82F93"/>
    <w:rsid w:val="10DD52B4"/>
    <w:rsid w:val="11056ED5"/>
    <w:rsid w:val="11247C4A"/>
    <w:rsid w:val="112520B5"/>
    <w:rsid w:val="11270B13"/>
    <w:rsid w:val="11462272"/>
    <w:rsid w:val="11773E08"/>
    <w:rsid w:val="11A72FE8"/>
    <w:rsid w:val="11C1283D"/>
    <w:rsid w:val="122F6C42"/>
    <w:rsid w:val="124E3EE0"/>
    <w:rsid w:val="127241BD"/>
    <w:rsid w:val="128838FF"/>
    <w:rsid w:val="132D339C"/>
    <w:rsid w:val="136F98C7"/>
    <w:rsid w:val="137A439B"/>
    <w:rsid w:val="14160DB5"/>
    <w:rsid w:val="142B226F"/>
    <w:rsid w:val="14A10E86"/>
    <w:rsid w:val="14FD1C4D"/>
    <w:rsid w:val="152C4F1A"/>
    <w:rsid w:val="1537312F"/>
    <w:rsid w:val="153C341E"/>
    <w:rsid w:val="15575A29"/>
    <w:rsid w:val="159644F9"/>
    <w:rsid w:val="15A34D99"/>
    <w:rsid w:val="15C52EA0"/>
    <w:rsid w:val="15F25377"/>
    <w:rsid w:val="16061DFF"/>
    <w:rsid w:val="16594147"/>
    <w:rsid w:val="167F49D7"/>
    <w:rsid w:val="16FE67DF"/>
    <w:rsid w:val="17427E68"/>
    <w:rsid w:val="174D4A1A"/>
    <w:rsid w:val="1755065F"/>
    <w:rsid w:val="17766CC5"/>
    <w:rsid w:val="179113F1"/>
    <w:rsid w:val="17A55906"/>
    <w:rsid w:val="17B50DA1"/>
    <w:rsid w:val="17C75F6D"/>
    <w:rsid w:val="1845726E"/>
    <w:rsid w:val="18AD6E82"/>
    <w:rsid w:val="18E37A15"/>
    <w:rsid w:val="190617C2"/>
    <w:rsid w:val="192B552E"/>
    <w:rsid w:val="197C5FD2"/>
    <w:rsid w:val="199B464E"/>
    <w:rsid w:val="199D6C7C"/>
    <w:rsid w:val="19A40F38"/>
    <w:rsid w:val="19AD46DD"/>
    <w:rsid w:val="19D44CC7"/>
    <w:rsid w:val="19E204F3"/>
    <w:rsid w:val="1A3019F0"/>
    <w:rsid w:val="1AFC29C9"/>
    <w:rsid w:val="1B634F4B"/>
    <w:rsid w:val="1BC875BA"/>
    <w:rsid w:val="1C2A35F1"/>
    <w:rsid w:val="1C383346"/>
    <w:rsid w:val="1C506E84"/>
    <w:rsid w:val="1CA52F2E"/>
    <w:rsid w:val="1CCD0744"/>
    <w:rsid w:val="1CEF2D58"/>
    <w:rsid w:val="1CFF4961"/>
    <w:rsid w:val="1D3310DD"/>
    <w:rsid w:val="1D511E09"/>
    <w:rsid w:val="1D617DC0"/>
    <w:rsid w:val="1DFE370B"/>
    <w:rsid w:val="1E2A4850"/>
    <w:rsid w:val="1E3630B9"/>
    <w:rsid w:val="1E623C31"/>
    <w:rsid w:val="1E6349A4"/>
    <w:rsid w:val="1F274910"/>
    <w:rsid w:val="1FB869DB"/>
    <w:rsid w:val="202A1CB2"/>
    <w:rsid w:val="204B017C"/>
    <w:rsid w:val="20685C8A"/>
    <w:rsid w:val="20742084"/>
    <w:rsid w:val="209C5301"/>
    <w:rsid w:val="20C41B2A"/>
    <w:rsid w:val="21531B90"/>
    <w:rsid w:val="215646FB"/>
    <w:rsid w:val="216C315C"/>
    <w:rsid w:val="21753F78"/>
    <w:rsid w:val="22F95897"/>
    <w:rsid w:val="232D3CFE"/>
    <w:rsid w:val="23726528"/>
    <w:rsid w:val="23E81DAB"/>
    <w:rsid w:val="244327CF"/>
    <w:rsid w:val="245379EF"/>
    <w:rsid w:val="2558154E"/>
    <w:rsid w:val="25603E02"/>
    <w:rsid w:val="25611E50"/>
    <w:rsid w:val="259B3507"/>
    <w:rsid w:val="259E2FD6"/>
    <w:rsid w:val="25FB4BE9"/>
    <w:rsid w:val="2640708F"/>
    <w:rsid w:val="26EEC2B5"/>
    <w:rsid w:val="27876078"/>
    <w:rsid w:val="279410D0"/>
    <w:rsid w:val="27CA0F96"/>
    <w:rsid w:val="27DD0728"/>
    <w:rsid w:val="27FA6B5E"/>
    <w:rsid w:val="28637AB6"/>
    <w:rsid w:val="287870C2"/>
    <w:rsid w:val="28D57AB2"/>
    <w:rsid w:val="28FE38E5"/>
    <w:rsid w:val="292D6C8B"/>
    <w:rsid w:val="29472309"/>
    <w:rsid w:val="29477816"/>
    <w:rsid w:val="297043CE"/>
    <w:rsid w:val="29D47D76"/>
    <w:rsid w:val="29F313D3"/>
    <w:rsid w:val="2A2A61C2"/>
    <w:rsid w:val="2A3013C1"/>
    <w:rsid w:val="2A690527"/>
    <w:rsid w:val="2A954CEF"/>
    <w:rsid w:val="2A9C58E1"/>
    <w:rsid w:val="2AB00B58"/>
    <w:rsid w:val="2AED43FD"/>
    <w:rsid w:val="2B0D0C40"/>
    <w:rsid w:val="2B406E77"/>
    <w:rsid w:val="2B5E2A7E"/>
    <w:rsid w:val="2B985236"/>
    <w:rsid w:val="2BAD468B"/>
    <w:rsid w:val="2BF54EBC"/>
    <w:rsid w:val="2C135FFB"/>
    <w:rsid w:val="2C2A0C43"/>
    <w:rsid w:val="2C3E4D46"/>
    <w:rsid w:val="2C480EB0"/>
    <w:rsid w:val="2C603A54"/>
    <w:rsid w:val="2C84363B"/>
    <w:rsid w:val="2CA64382"/>
    <w:rsid w:val="2CF5193E"/>
    <w:rsid w:val="2D0310D2"/>
    <w:rsid w:val="2D1E73A5"/>
    <w:rsid w:val="2D351E85"/>
    <w:rsid w:val="2D4F7D95"/>
    <w:rsid w:val="2D7029F1"/>
    <w:rsid w:val="2E022300"/>
    <w:rsid w:val="2E072C2C"/>
    <w:rsid w:val="2EB17E2A"/>
    <w:rsid w:val="2EBA09E5"/>
    <w:rsid w:val="2ED8166D"/>
    <w:rsid w:val="2F041379"/>
    <w:rsid w:val="2F18734D"/>
    <w:rsid w:val="2F4F7AB1"/>
    <w:rsid w:val="2F5E7AEB"/>
    <w:rsid w:val="2F735C0E"/>
    <w:rsid w:val="2F775C63"/>
    <w:rsid w:val="2F7845C6"/>
    <w:rsid w:val="2FD63A0E"/>
    <w:rsid w:val="2FF21EF5"/>
    <w:rsid w:val="30663D92"/>
    <w:rsid w:val="30AD4A9B"/>
    <w:rsid w:val="30FC7FFF"/>
    <w:rsid w:val="31293E4E"/>
    <w:rsid w:val="313A11BE"/>
    <w:rsid w:val="314E3372"/>
    <w:rsid w:val="316C16F6"/>
    <w:rsid w:val="31A1046C"/>
    <w:rsid w:val="31FB6A43"/>
    <w:rsid w:val="321201C0"/>
    <w:rsid w:val="327120CC"/>
    <w:rsid w:val="32717154"/>
    <w:rsid w:val="32FA15A1"/>
    <w:rsid w:val="33CC4F4D"/>
    <w:rsid w:val="343E26DA"/>
    <w:rsid w:val="3441251C"/>
    <w:rsid w:val="34B63260"/>
    <w:rsid w:val="34C83C63"/>
    <w:rsid w:val="358360E5"/>
    <w:rsid w:val="35957B98"/>
    <w:rsid w:val="35C67FB1"/>
    <w:rsid w:val="35EC5671"/>
    <w:rsid w:val="35F027BB"/>
    <w:rsid w:val="36152F9D"/>
    <w:rsid w:val="366A5B93"/>
    <w:rsid w:val="36810108"/>
    <w:rsid w:val="36847EE9"/>
    <w:rsid w:val="36886F16"/>
    <w:rsid w:val="369E0B0B"/>
    <w:rsid w:val="36B81D6E"/>
    <w:rsid w:val="36C17EB8"/>
    <w:rsid w:val="36E52834"/>
    <w:rsid w:val="37097102"/>
    <w:rsid w:val="372E6D96"/>
    <w:rsid w:val="373244AB"/>
    <w:rsid w:val="37370D6E"/>
    <w:rsid w:val="374D0DBC"/>
    <w:rsid w:val="37DB6E18"/>
    <w:rsid w:val="37FDA7E2"/>
    <w:rsid w:val="3826040C"/>
    <w:rsid w:val="389713B1"/>
    <w:rsid w:val="390056F9"/>
    <w:rsid w:val="3904404B"/>
    <w:rsid w:val="395358D2"/>
    <w:rsid w:val="39B62C4E"/>
    <w:rsid w:val="3A314D88"/>
    <w:rsid w:val="3A63593D"/>
    <w:rsid w:val="3A641F48"/>
    <w:rsid w:val="3A746883"/>
    <w:rsid w:val="3A863664"/>
    <w:rsid w:val="3ABB30CB"/>
    <w:rsid w:val="3B2C6499"/>
    <w:rsid w:val="3B4F12E4"/>
    <w:rsid w:val="3BCA13BB"/>
    <w:rsid w:val="3BF141FD"/>
    <w:rsid w:val="3C4E2AFA"/>
    <w:rsid w:val="3C9C01FE"/>
    <w:rsid w:val="3CA15DE9"/>
    <w:rsid w:val="3CBB3873"/>
    <w:rsid w:val="3CCE0FAE"/>
    <w:rsid w:val="3CE0107D"/>
    <w:rsid w:val="3CF02FDB"/>
    <w:rsid w:val="3D3373BD"/>
    <w:rsid w:val="3DE6476E"/>
    <w:rsid w:val="3E341124"/>
    <w:rsid w:val="3EFF3A8A"/>
    <w:rsid w:val="3F24539A"/>
    <w:rsid w:val="3F2777E3"/>
    <w:rsid w:val="3F7D5494"/>
    <w:rsid w:val="3FDA42D2"/>
    <w:rsid w:val="3FE61EE5"/>
    <w:rsid w:val="400034F0"/>
    <w:rsid w:val="405800AC"/>
    <w:rsid w:val="406508EE"/>
    <w:rsid w:val="408D6263"/>
    <w:rsid w:val="409D38D3"/>
    <w:rsid w:val="40D75EA4"/>
    <w:rsid w:val="412868C0"/>
    <w:rsid w:val="41B40CEE"/>
    <w:rsid w:val="42187D71"/>
    <w:rsid w:val="421B2868"/>
    <w:rsid w:val="4222108A"/>
    <w:rsid w:val="42C11742"/>
    <w:rsid w:val="42CA7DF7"/>
    <w:rsid w:val="42CC45A2"/>
    <w:rsid w:val="434606E3"/>
    <w:rsid w:val="43683079"/>
    <w:rsid w:val="439035C9"/>
    <w:rsid w:val="442125D7"/>
    <w:rsid w:val="44971869"/>
    <w:rsid w:val="44CC55CF"/>
    <w:rsid w:val="44CD3387"/>
    <w:rsid w:val="453B233A"/>
    <w:rsid w:val="45B94F9D"/>
    <w:rsid w:val="45DA55ED"/>
    <w:rsid w:val="45E52C9A"/>
    <w:rsid w:val="46281306"/>
    <w:rsid w:val="46294928"/>
    <w:rsid w:val="46553DE8"/>
    <w:rsid w:val="46B2781D"/>
    <w:rsid w:val="46E1226F"/>
    <w:rsid w:val="472F7D28"/>
    <w:rsid w:val="474142EE"/>
    <w:rsid w:val="4831626C"/>
    <w:rsid w:val="48317291"/>
    <w:rsid w:val="485F0C29"/>
    <w:rsid w:val="485F7024"/>
    <w:rsid w:val="486F27D3"/>
    <w:rsid w:val="48B25C53"/>
    <w:rsid w:val="48E70666"/>
    <w:rsid w:val="48EA10D4"/>
    <w:rsid w:val="494233B9"/>
    <w:rsid w:val="49464C91"/>
    <w:rsid w:val="49553382"/>
    <w:rsid w:val="49B20ECC"/>
    <w:rsid w:val="49FB4C78"/>
    <w:rsid w:val="4A280BD1"/>
    <w:rsid w:val="4A3F5DFB"/>
    <w:rsid w:val="4A544C81"/>
    <w:rsid w:val="4A6C043D"/>
    <w:rsid w:val="4A822D1F"/>
    <w:rsid w:val="4AE930B2"/>
    <w:rsid w:val="4BCF7D83"/>
    <w:rsid w:val="4C51596D"/>
    <w:rsid w:val="4C6877E5"/>
    <w:rsid w:val="4C797328"/>
    <w:rsid w:val="4CF54DF7"/>
    <w:rsid w:val="4D146990"/>
    <w:rsid w:val="4D4C44AE"/>
    <w:rsid w:val="4D6A468D"/>
    <w:rsid w:val="4DC31B4D"/>
    <w:rsid w:val="4DDD0F0C"/>
    <w:rsid w:val="4DDE55B0"/>
    <w:rsid w:val="4E15655E"/>
    <w:rsid w:val="4E7D0D54"/>
    <w:rsid w:val="4EA86137"/>
    <w:rsid w:val="4EDA47CA"/>
    <w:rsid w:val="4EE928BD"/>
    <w:rsid w:val="4EFD461E"/>
    <w:rsid w:val="4F7E7B79"/>
    <w:rsid w:val="4FA90E3E"/>
    <w:rsid w:val="4FFC1F1B"/>
    <w:rsid w:val="501E71A0"/>
    <w:rsid w:val="50317F4D"/>
    <w:rsid w:val="503E0BB5"/>
    <w:rsid w:val="507917BA"/>
    <w:rsid w:val="507D5479"/>
    <w:rsid w:val="508E4EA2"/>
    <w:rsid w:val="50B966FE"/>
    <w:rsid w:val="50FF49A2"/>
    <w:rsid w:val="51007D79"/>
    <w:rsid w:val="513E1480"/>
    <w:rsid w:val="516D37DC"/>
    <w:rsid w:val="517E6EC0"/>
    <w:rsid w:val="520E22D6"/>
    <w:rsid w:val="521A58B3"/>
    <w:rsid w:val="522F7887"/>
    <w:rsid w:val="536D53BB"/>
    <w:rsid w:val="53BC4053"/>
    <w:rsid w:val="53DA1C27"/>
    <w:rsid w:val="53E702F8"/>
    <w:rsid w:val="53EE6FFF"/>
    <w:rsid w:val="53F3061C"/>
    <w:rsid w:val="54187B58"/>
    <w:rsid w:val="543F7209"/>
    <w:rsid w:val="549C64E5"/>
    <w:rsid w:val="54B82850"/>
    <w:rsid w:val="54BD6800"/>
    <w:rsid w:val="55495B01"/>
    <w:rsid w:val="55537EB4"/>
    <w:rsid w:val="557C4CD1"/>
    <w:rsid w:val="55C81F00"/>
    <w:rsid w:val="56066C4D"/>
    <w:rsid w:val="5628285E"/>
    <w:rsid w:val="56545C23"/>
    <w:rsid w:val="569353EE"/>
    <w:rsid w:val="56CA7FD0"/>
    <w:rsid w:val="57155F59"/>
    <w:rsid w:val="577F2A02"/>
    <w:rsid w:val="57D004A7"/>
    <w:rsid w:val="57FA38D1"/>
    <w:rsid w:val="588F1D10"/>
    <w:rsid w:val="5896642A"/>
    <w:rsid w:val="58DF65B7"/>
    <w:rsid w:val="58F70368"/>
    <w:rsid w:val="59762A98"/>
    <w:rsid w:val="597C4CA2"/>
    <w:rsid w:val="59971569"/>
    <w:rsid w:val="59DE1724"/>
    <w:rsid w:val="5A102323"/>
    <w:rsid w:val="5A504A0A"/>
    <w:rsid w:val="5A913C10"/>
    <w:rsid w:val="5AF6532A"/>
    <w:rsid w:val="5BA97033"/>
    <w:rsid w:val="5BEC4CCE"/>
    <w:rsid w:val="5C1B58A9"/>
    <w:rsid w:val="5C2D3913"/>
    <w:rsid w:val="5C597E04"/>
    <w:rsid w:val="5C9777CB"/>
    <w:rsid w:val="5CDD4691"/>
    <w:rsid w:val="5CF15DBB"/>
    <w:rsid w:val="5D8D08DC"/>
    <w:rsid w:val="5DEB5DF3"/>
    <w:rsid w:val="5E110459"/>
    <w:rsid w:val="5E125A98"/>
    <w:rsid w:val="5E530378"/>
    <w:rsid w:val="5E9568F3"/>
    <w:rsid w:val="5EAC4F0C"/>
    <w:rsid w:val="5EE772D4"/>
    <w:rsid w:val="5F0536A5"/>
    <w:rsid w:val="5F29142A"/>
    <w:rsid w:val="5F467FD5"/>
    <w:rsid w:val="5F7D3333"/>
    <w:rsid w:val="5FA47A39"/>
    <w:rsid w:val="5FE26262"/>
    <w:rsid w:val="600C2DA8"/>
    <w:rsid w:val="60581EA6"/>
    <w:rsid w:val="60A07859"/>
    <w:rsid w:val="60D46623"/>
    <w:rsid w:val="60E6025D"/>
    <w:rsid w:val="61385890"/>
    <w:rsid w:val="613B3C14"/>
    <w:rsid w:val="618E13E4"/>
    <w:rsid w:val="62292776"/>
    <w:rsid w:val="623C52F2"/>
    <w:rsid w:val="62A43336"/>
    <w:rsid w:val="63121DAD"/>
    <w:rsid w:val="63632272"/>
    <w:rsid w:val="63713881"/>
    <w:rsid w:val="637667BE"/>
    <w:rsid w:val="6397078E"/>
    <w:rsid w:val="63C865CD"/>
    <w:rsid w:val="63F04F5F"/>
    <w:rsid w:val="64007AB9"/>
    <w:rsid w:val="640E558F"/>
    <w:rsid w:val="643B2FE7"/>
    <w:rsid w:val="64623419"/>
    <w:rsid w:val="646E1720"/>
    <w:rsid w:val="648A7E9D"/>
    <w:rsid w:val="649947D7"/>
    <w:rsid w:val="64F14DA9"/>
    <w:rsid w:val="64F36F95"/>
    <w:rsid w:val="65167533"/>
    <w:rsid w:val="651D10A4"/>
    <w:rsid w:val="653320E1"/>
    <w:rsid w:val="65725405"/>
    <w:rsid w:val="65A26B7E"/>
    <w:rsid w:val="660C4C3D"/>
    <w:rsid w:val="668468D9"/>
    <w:rsid w:val="66903DF2"/>
    <w:rsid w:val="66A50580"/>
    <w:rsid w:val="66B514BB"/>
    <w:rsid w:val="66BB3819"/>
    <w:rsid w:val="66E73BC0"/>
    <w:rsid w:val="671E4236"/>
    <w:rsid w:val="672609EF"/>
    <w:rsid w:val="678C00ED"/>
    <w:rsid w:val="67FB5BC8"/>
    <w:rsid w:val="67FC0743"/>
    <w:rsid w:val="6810433A"/>
    <w:rsid w:val="682A3F93"/>
    <w:rsid w:val="687436E1"/>
    <w:rsid w:val="691309E3"/>
    <w:rsid w:val="69271497"/>
    <w:rsid w:val="69313959"/>
    <w:rsid w:val="69677222"/>
    <w:rsid w:val="699D484F"/>
    <w:rsid w:val="69BD15D0"/>
    <w:rsid w:val="69F63EE2"/>
    <w:rsid w:val="6A332180"/>
    <w:rsid w:val="6AEB5EC1"/>
    <w:rsid w:val="6B243AFE"/>
    <w:rsid w:val="6B8C398B"/>
    <w:rsid w:val="6BA2300F"/>
    <w:rsid w:val="6BBC5EB1"/>
    <w:rsid w:val="6BDE4A18"/>
    <w:rsid w:val="6C1D32B6"/>
    <w:rsid w:val="6C351745"/>
    <w:rsid w:val="6C3631D5"/>
    <w:rsid w:val="6C7F378E"/>
    <w:rsid w:val="6CF30704"/>
    <w:rsid w:val="6D1138F4"/>
    <w:rsid w:val="6D6E631C"/>
    <w:rsid w:val="6D714812"/>
    <w:rsid w:val="6DA45C50"/>
    <w:rsid w:val="6E0A49AE"/>
    <w:rsid w:val="6E0C0AC4"/>
    <w:rsid w:val="6E200CBB"/>
    <w:rsid w:val="6E866D61"/>
    <w:rsid w:val="6E9A7825"/>
    <w:rsid w:val="6ED27102"/>
    <w:rsid w:val="6EF745A9"/>
    <w:rsid w:val="6F4B2F52"/>
    <w:rsid w:val="6F670F9B"/>
    <w:rsid w:val="6F7778DB"/>
    <w:rsid w:val="6F9E1481"/>
    <w:rsid w:val="6FE34818"/>
    <w:rsid w:val="70521E13"/>
    <w:rsid w:val="70A32B66"/>
    <w:rsid w:val="70A83B6A"/>
    <w:rsid w:val="712A1218"/>
    <w:rsid w:val="716A7ADC"/>
    <w:rsid w:val="71B07956"/>
    <w:rsid w:val="71BC7F45"/>
    <w:rsid w:val="71C313A0"/>
    <w:rsid w:val="71FD2D7F"/>
    <w:rsid w:val="724A579D"/>
    <w:rsid w:val="72804EBE"/>
    <w:rsid w:val="728B450D"/>
    <w:rsid w:val="72974750"/>
    <w:rsid w:val="72AE2EA5"/>
    <w:rsid w:val="73461B6A"/>
    <w:rsid w:val="737450E0"/>
    <w:rsid w:val="73F37CC5"/>
    <w:rsid w:val="74054476"/>
    <w:rsid w:val="74162A1C"/>
    <w:rsid w:val="74246880"/>
    <w:rsid w:val="74296454"/>
    <w:rsid w:val="742F38C4"/>
    <w:rsid w:val="746416D5"/>
    <w:rsid w:val="74AB66DC"/>
    <w:rsid w:val="74AD230E"/>
    <w:rsid w:val="74C4154C"/>
    <w:rsid w:val="7531414E"/>
    <w:rsid w:val="75431908"/>
    <w:rsid w:val="75605656"/>
    <w:rsid w:val="757340EC"/>
    <w:rsid w:val="758F75DE"/>
    <w:rsid w:val="75902ABD"/>
    <w:rsid w:val="759046FD"/>
    <w:rsid w:val="75956FFF"/>
    <w:rsid w:val="75B90A32"/>
    <w:rsid w:val="75F60244"/>
    <w:rsid w:val="76113386"/>
    <w:rsid w:val="762A17CA"/>
    <w:rsid w:val="76CE4FA7"/>
    <w:rsid w:val="76DA2785"/>
    <w:rsid w:val="76E05723"/>
    <w:rsid w:val="7711751D"/>
    <w:rsid w:val="77685673"/>
    <w:rsid w:val="77A979BF"/>
    <w:rsid w:val="77AA2D01"/>
    <w:rsid w:val="77B440E8"/>
    <w:rsid w:val="782A5132"/>
    <w:rsid w:val="787258F1"/>
    <w:rsid w:val="78D537F6"/>
    <w:rsid w:val="78E7122E"/>
    <w:rsid w:val="78F631E7"/>
    <w:rsid w:val="791B1739"/>
    <w:rsid w:val="792861EF"/>
    <w:rsid w:val="79303E40"/>
    <w:rsid w:val="79393E7C"/>
    <w:rsid w:val="793D3DC7"/>
    <w:rsid w:val="794A2439"/>
    <w:rsid w:val="79570F4F"/>
    <w:rsid w:val="798F7E92"/>
    <w:rsid w:val="79CD15B9"/>
    <w:rsid w:val="79F531A7"/>
    <w:rsid w:val="7A66301B"/>
    <w:rsid w:val="7AE1551A"/>
    <w:rsid w:val="7B104B65"/>
    <w:rsid w:val="7B1C7217"/>
    <w:rsid w:val="7B2B2FA7"/>
    <w:rsid w:val="7B7612FC"/>
    <w:rsid w:val="7C9249B5"/>
    <w:rsid w:val="7CDD0341"/>
    <w:rsid w:val="7CDE1DBD"/>
    <w:rsid w:val="7D096633"/>
    <w:rsid w:val="7D7E417B"/>
    <w:rsid w:val="7D943A85"/>
    <w:rsid w:val="7DB0448C"/>
    <w:rsid w:val="7DDA6FF0"/>
    <w:rsid w:val="7DF1681C"/>
    <w:rsid w:val="7E5F9AA4"/>
    <w:rsid w:val="7E906962"/>
    <w:rsid w:val="7F2B406D"/>
    <w:rsid w:val="7F3D5C39"/>
    <w:rsid w:val="7F3D7356"/>
    <w:rsid w:val="7F4B3363"/>
    <w:rsid w:val="7F6E3FE0"/>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7186</Words>
  <Characters>10522</Characters>
  <Lines>67</Lines>
  <Paragraphs>18</Paragraphs>
  <TotalTime>53</TotalTime>
  <ScaleCrop>false</ScaleCrop>
  <LinksUpToDate>false</LinksUpToDate>
  <CharactersWithSpaces>10608</CharactersWithSpaces>
  <Application>WPS Office_11.1.0.8840_F1E327BC-269C-435d-A152-05C5408002CA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2025-10-09T14:38:54Z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2052-11.1.0.8840</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