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中共色尼区委政法委机关2024年度部门决算公开报告</w:t>
      </w:r>
    </w:p>
    <w:p>
      <w:pPr>
        <w:spacing w:line="578" w:lineRule="exact"/>
        <w:jc w:val="center"/>
        <w:rPr>
          <w:rFonts w:hint="eastAsia" w:asciiTheme="majorEastAsia" w:hAnsiTheme="majorEastAsia" w:eastAsiaTheme="majorEastAsia" w:cstheme="majorEastAsia"/>
          <w:b/>
          <w:bCs/>
          <w:sz w:val="44"/>
          <w:szCs w:val="44"/>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32433_WPSOffice_Level1"/>
      <w:bookmarkStart w:id="5" w:name="_Toc23465_WPSOffice_Level1"/>
      <w:bookmarkStart w:id="6" w:name="_Toc22941_WPSOffice_Level1"/>
      <w:bookmarkStart w:id="7" w:name="_Toc1704_WPSOffice_Level1"/>
      <w:bookmarkStart w:id="8" w:name="_Toc24238_WPSOffice_Level2"/>
      <w:bookmarkStart w:id="9" w:name="_Toc20205_WPSOffice_Level2"/>
      <w:bookmarkStart w:id="10" w:name="_Toc20274_WPSOffice_Level2"/>
      <w:bookmarkStart w:id="11" w:name="_Toc14159_WPSOffice_Level2"/>
      <w:bookmarkStart w:id="12" w:name="_Toc32622_WPSOffice_Level2"/>
      <w:bookmarkStart w:id="13" w:name="_Toc26580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numPr>
          <w:ilvl w:val="0"/>
          <w:numId w:val="0"/>
        </w:numPr>
        <w:spacing w:line="578" w:lineRule="exact"/>
        <w:ind w:firstLine="640" w:firstLineChars="200"/>
        <w:rPr>
          <w:rFonts w:hint="default" w:ascii="黑体" w:hAnsi="黑体" w:eastAsia="黑体" w:cs="黑体"/>
          <w:sz w:val="32"/>
          <w:szCs w:val="32"/>
          <w:lang w:val="en-US" w:eastAsia="zh-CN"/>
        </w:rPr>
      </w:pPr>
      <w:r>
        <w:rPr>
          <w:rFonts w:hint="eastAsia" w:ascii="仿宋_GB2312" w:hAnsi="ˎ̥" w:eastAsia="仿宋_GB2312"/>
          <w:color w:val="auto"/>
          <w:sz w:val="32"/>
          <w:szCs w:val="32"/>
        </w:rPr>
        <w:t>1、深入贯彻习近平新时代中国特色社会主义思想，深入贯彻党的路线方针政策和决策部署，统一政法各部门思想和行动，坚持党对政法工作的绝对领导，坚决维护党中央权威和集中统一领导。2、对色尼区政法工作研究提出全局性部署。3、创新完善多部门参与的综治维稳工作机制，协调推动预防、化解影响稳定的社会矛盾和风险，协调应对和处置重大突发事件。4、统筹协调社会治安综合治理、维护社会稳定、反邪教有关法律法规政策的实施工作。5、参与有关法规条例的起草、修改工作，及时提出立法建议。6、指导协调色尼区政法各部门媒体网络宣传和涉及政法工作的重大宣传工作。7、研究分析政法信息基础设施共建互享、互联互通和开放兼容的政策意见，指导政法各部门信息化平台建设工作。8、研究和协调重大、疑难案件，推进严格执法、公正司法。9、深化政法改革。10、指导推动色尼区政法系统党的建设和政法队伍建设。11、负责色尼区铁路护路联防保障等工作。12、完成市委政法委、区委办的其他任务。推动完善和落实政治轮训和政治督察制度</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贯彻落实《中国共产党政法工作条例》，树牢总体国家安全观，深入开展反分裂斗争，防范化解重大重大风险隐患，全面推进依法治藏、依法治市、依法治区，坚决维护国家安全和社会稳定，为发展稳定提供坚强法治保障。对全区政法工作研究提出总体要求，研究协调政法单位之间、政法单位和有关部门、乡镇（街道）之间有关重大事项，推进平安色尼、法治色尼建设，加强过硬政法队伍建设，深化智能化建设，统一全区政法单位思想和行动</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创新完善多部门参与的综治维稳工作机制，平安建设工作协调机制，协调推动预防、化解影响稳定的的社会矛盾和风险，协调应对和处置重大突发事件，指导协调全区政法单位和有关部门做好反邪教、反暴恐工作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统筹协调社会治安综合治理、维护社会稳定、反邪教、反暴恐等有关法律法规政策的实施工作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负责色尼区铁路护路联防保障等工作，保障护路队员社会福利，有利于铁路工作的开展</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负责色尼区铁路护路联防保障等工作，保障护路队员社会福利，有利于铁路工作的开展</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完成市委政法委、区委办的其他任务。雪亮平台建设工作，双共相关工作，扫黑等工作的完成</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完成市委政法委、区委办的其他任务。雪亮平台建设工作，双共相关工作，扫黑等工作的完成</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推动完善和落实政治轮训和政治督察制度</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研究拟订全区铁路护路联防工作计划、负责组织实施和督导监督，深入调查、掌握铁路护路沿线敌社情动态，开展铁路沿线治安专项整治活动。负责全区铁路护路联防保障工作，落实全区铁路护路联防年度经费预算。负责统筹组织、协调推动、指导监督全区铁路护路联防工作和铁路护路联防宣传教育工作。承担专职铁路护路人员的业务培训和考核奖励等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研究拟订全区铁路护路联防工作计划、负责组织实施和督导监督，深入调查、掌握铁路护路沿线敌社情动态，开展铁路沿线治安专项整治活动。负责全区铁路护路联防保障工作，落实全区铁路护路联防年度经费预算。负责统筹组织、协调推动、指导监督全区铁路护路联防工作和铁路护路联防宣传教育工作。承担专职铁路护路人员的业务培训和考核奖励等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购买奖牌、荣誉证书和哈达、绶带,护路办公用经费</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为保障护路队员社保缴费，提高铁路工作效益</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承担我区社会治安综治治理工作的组织协调、督导检查和综合考评。协调推动重点领域、行业、物品安全管理。调查研究流动人口、特殊人群和重点青少年群体等服务管理工作有关问题并提出政策建议。协调推动建立覆盖全部实有人口的动态管理体系、特殊人群社会关怀帮扶体系。指导协调预防和减少青少年违反犯罪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统筹指导我区各有关单位推进常态化扫黑除恶斗争等专项工作。承担全区社会治安综治治理工作的组织协调、督导检查和综合考评。协调推动重点领域、行业、物品安全管理。调查研究流动人口、特殊人群和重点青少年群体等服务管理工作有关问题并提出政策建议。协调推动建立覆盖全部实有人口的动态管理体系、特殊人群社会关怀帮扶体系。指导协调预防和减少青少年违反犯罪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组建“双共”奋进队是市委、市政府深入贯彻落实党的二十大和区党委十届三次、四次全会精神的创新举措，是贯彻落实党中央和区党委关于进一步提升基层治理体系和治理能力现代化水平的决策部署，推动那曲长治久安和高质量发展的必然要求，是“乡村振兴 那曲奋进”活动的重要成果转化平台，更是坚持以人民为中心的发展思想，促进参训队员增收致富，引领群众无缝融入奋勇争当“四个创建”“四个走在前列”和“四个示范市”建设伟大实践的重要平台。今年以来（2023年），市委、市政府对“双共”奋进队工作高度重视，庄劲松书记先后召开会议对“双共”奋进队工作进行详细安排部署，多次在市委会议上进行阐述，在推进过程中全程亲自督促指导，提出明确要求，充分体现了市委、市政府对这项工作的高度重视，将把“双共”奋进队工作持续性、延续性、长期性开展，既能实现增收致富，也能参与基层社会治理工作，全力推动那曲工作从“破题追赶”向“走在前列”奋进，从“不添乱、守底线”向“尽责任、做贡献”升华，开创那曲长治久安和高质量发展崭新局面</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先进双联户”日常工作经费。机制制度建设、宣传发动、日常督导检查、更新建立并上报全市所有实有人员“双联户”信息档案、年度考核验收等；年度各级“先进双联户”推选评比、树立群众自治先进典型、制作奖牌、荣誉证书、红头文件等</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主要用于区委平安那曲建设领导小组及其办公室开展平安那曲建设宣传教育、组建平安志愿者、协调督促考核，指导各乡镇、各部门开展维护稳定、社会治理、调解矛盾、预防犯罪，组织各乡镇工作人员集中交流培训基层社会治理和平安建设等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主要用于区委平安那曲建设领导小组及其办公室开展平安那曲建设宣传教育、组建平安志愿者、协调督促考核，指导各乡镇、各部门开展维护稳定、社会治理、调解矛盾、预防犯罪，组织各乡镇工作人员集中交流培训基层社会治理和平安建设等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社会治理网格化平台1套、工作人员移动端应用1套、居民移动端应用1套、统一地址库1套、社会治理要素数据治理平台1套、治理态势图1套、三维地图建模1套、公安分平台1套、大数据风险防控预测预警平台1套，业务系统数据对接接口开发1项，硬件及终端1项，符合信息系统密码应用基本要求的密码设备1项</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网络租赁费，网络租赁费管理责任承担，电费，“雪亮工程”总机房、社会治理应急联动指挥中心（综治中心）监控大屏及相关软硬件设备的耗电费用；维护费，根据项目《施工合同》约定和我区信息化项目运维专业人才紧缺的实际困难，项目终验完成后将按照政府采购有关流程，需要委托第三方专业团队进行维护，以便发挥项目最大化效益</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公共安全视频监控建设联网应用是指以“全域覆盖、全网共享、全时可用、全程可控”为总目标， 推动重点公共区域、重点行业、领域的视频监控系统建设，指导、监督治安保卫重点单位公共安全视频监控系统建设联网；推动社会面公共安全视频监控系统整合、联网、共享；对涉及公共安全的区域和场所的视频监控资源进行联网、采集、传输、显示、处理和存储，拓展视频监控资源在治安防控、城乡社区治理、智能 交通、民生服务、安全生产、应急指挥、生态保护等领域的视频监控联网应用系统</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购买奖牌、荣誉证书和哈达、绶带</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研究提出加强全区政法队伍建设和领导班子建设的意见措施。推动政法队伍纪律作风和廉政建设，负责指导组织开展机关及全市政法队伍教育培训工作。指导全区政法系统人才队伍建设，配合有关单位做好政法系统荣誉表彰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应急指挥中心涉我委日常维稳专项运维经费，国家安全人民防线宣传经费</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筹备组织市维稳指挥部相关会议和活动，承担综合协调、内外联系和文稿，协调各专项工作组、带班值班等工作。负责市维稳指挥部指挥调度工作，协调有关方面做好敏感期（敏感节点）重大节庆等活动期间社会稳定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负责总体国家安全观宣传教育培训等工作。协调推进国家安全法治建设有关工作，国家安全人民防线宣传经费</w:t>
      </w:r>
      <w:r>
        <w:rPr>
          <w:rFonts w:hint="eastAsia" w:ascii="仿宋_GB2312" w:hAnsi="ˎ̥" w:eastAsia="仿宋_GB2312"/>
          <w:color w:val="auto"/>
          <w:sz w:val="32"/>
          <w:szCs w:val="32"/>
          <w:lang w:eastAsia="zh-CN"/>
        </w:rPr>
        <w:t>。</w:t>
      </w:r>
    </w:p>
    <w:p>
      <w:pPr>
        <w:spacing w:line="578" w:lineRule="exact"/>
        <w:ind w:firstLine="640" w:firstLineChars="200"/>
        <w:rPr>
          <w:rFonts w:hint="eastAsia" w:ascii="黑体" w:hAnsi="黑体" w:eastAsia="黑体" w:cs="黑体"/>
          <w:sz w:val="32"/>
          <w:szCs w:val="32"/>
        </w:rPr>
      </w:pPr>
      <w:bookmarkStart w:id="14" w:name="_Toc4833_WPSOffice_Level2"/>
      <w:bookmarkStart w:id="15" w:name="_Toc6572_WPSOffice_Level2"/>
      <w:bookmarkStart w:id="16" w:name="_Toc17796_WPSOffice_Level2"/>
      <w:bookmarkStart w:id="17" w:name="_Toc24474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纳入</w:t>
      </w:r>
      <w:r>
        <w:rPr>
          <w:rFonts w:hint="default" w:ascii="仿宋_GB2312" w:hAnsi="ˎ̥" w:eastAsia="仿宋_GB2312"/>
          <w:color w:val="auto"/>
          <w:sz w:val="32"/>
          <w:szCs w:val="32"/>
          <w:lang w:val="en-US"/>
        </w:rPr>
        <w:t>中共色尼区委政法委机关</w:t>
      </w: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r>
        <w:rPr>
          <w:rFonts w:hint="default" w:ascii="仿宋_GB2312" w:hAnsi="ˎ̥" w:eastAsia="仿宋_GB2312"/>
          <w:color w:val="auto"/>
          <w:sz w:val="32"/>
          <w:szCs w:val="32"/>
          <w:lang w:val="en-US"/>
        </w:rPr>
        <w:t>中共色尼区委政法委机关</w:t>
      </w:r>
      <w:r>
        <w:rPr>
          <w:rFonts w:hint="eastAsia" w:ascii="仿宋_GB2312" w:hAnsi="ˎ̥" w:eastAsia="仿宋_GB2312"/>
          <w:color w:val="auto"/>
          <w:sz w:val="32"/>
          <w:szCs w:val="32"/>
        </w:rPr>
        <w:t>部门本级</w:t>
      </w:r>
      <w:r>
        <w:rPr>
          <w:rFonts w:hint="eastAsia" w:ascii="仿宋_GB2312" w:hAnsi="ˎ̥" w:eastAsia="仿宋_GB2312"/>
          <w:color w:val="auto"/>
          <w:sz w:val="32"/>
          <w:szCs w:val="32"/>
          <w:lang w:eastAsia="zh-CN"/>
        </w:rPr>
        <w:t>。</w:t>
      </w:r>
    </w:p>
    <w:p>
      <w:pPr>
        <w:spacing w:line="578" w:lineRule="exact"/>
        <w:ind w:firstLine="640" w:firstLineChars="200"/>
        <w:rPr>
          <w:rFonts w:hint="eastAsia" w:ascii="仿宋_GB2312" w:hAnsi="ˎ̥" w:eastAsia="仿宋_GB2312"/>
          <w:sz w:val="32"/>
          <w:szCs w:val="32"/>
        </w:rPr>
      </w:pPr>
    </w:p>
    <w:p>
      <w:pPr>
        <w:spacing w:line="578" w:lineRule="exact"/>
        <w:jc w:val="center"/>
        <w:rPr>
          <w:rFonts w:hint="eastAsia" w:ascii="黑体" w:hAnsi="ˎ̥" w:eastAsia="黑体"/>
          <w:sz w:val="32"/>
          <w:szCs w:val="32"/>
        </w:rPr>
      </w:pPr>
      <w:bookmarkStart w:id="19" w:name="_Toc28253_WPSOffice_Level1"/>
      <w:bookmarkStart w:id="20" w:name="_Toc8164_WPSOffice_Level1"/>
      <w:bookmarkStart w:id="21" w:name="_Toc15521_WPSOffice_Level1"/>
      <w:bookmarkStart w:id="22" w:name="_Toc30690_WPSOffice_Level1"/>
      <w:bookmarkStart w:id="23" w:name="_Toc6234_WPSOffice_Level1"/>
      <w:bookmarkStart w:id="24" w:name="_Toc30451_WPSOffice_Level1"/>
      <w:bookmarkStart w:id="25" w:name="_Toc32472_WPSOffice_Level2"/>
      <w:bookmarkStart w:id="26" w:name="_Toc11518_WPSOffice_Level2"/>
      <w:bookmarkStart w:id="27" w:name="_Toc32695_WPSOffice_Level2"/>
      <w:bookmarkStart w:id="28" w:name="_Toc4029_WPSOffice_Level2"/>
      <w:bookmarkStart w:id="29" w:name="_Toc8867_WPSOffice_Level2"/>
      <w:bookmarkStart w:id="30" w:name="_Toc6211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30334_WPSOffice_Level2"/>
      <w:bookmarkStart w:id="32" w:name="_Toc23139_WPSOffice_Level2"/>
      <w:bookmarkStart w:id="33" w:name="_Toc25608_WPSOffice_Level2"/>
      <w:bookmarkStart w:id="34" w:name="_Toc26621_WPSOffice_Level2"/>
      <w:bookmarkStart w:id="35" w:name="_Toc14349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17626_WPSOffice_Level2"/>
      <w:bookmarkStart w:id="39" w:name="_Toc5489_WPSOffice_Level2"/>
      <w:bookmarkStart w:id="40" w:name="_Toc14658_WPSOffice_Level2"/>
      <w:bookmarkStart w:id="41" w:name="_Toc17858_WPSOffice_Level2"/>
      <w:bookmarkStart w:id="42"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4265_WPSOffice_Level2"/>
      <w:bookmarkStart w:id="44" w:name="_Toc23493_WPSOffice_Level2"/>
      <w:bookmarkStart w:id="45" w:name="_Toc21415_WPSOffice_Level2"/>
      <w:bookmarkStart w:id="46" w:name="_Toc23591_WPSOffice_Level2"/>
      <w:bookmarkStart w:id="47" w:name="_Toc13701_WPSOffice_Level2"/>
      <w:bookmarkStart w:id="48"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3829_WPSOffice_Level2"/>
      <w:bookmarkStart w:id="50" w:name="_Toc25166_WPSOffice_Level2"/>
      <w:bookmarkStart w:id="51" w:name="_Toc7879_WPSOffice_Level2"/>
      <w:bookmarkStart w:id="52" w:name="_Toc22783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5343_WPSOffice_Level2"/>
      <w:bookmarkStart w:id="57" w:name="_Toc17833_WPSOffice_Level2"/>
      <w:bookmarkStart w:id="58" w:name="_Toc8373_WPSOffice_Level2"/>
      <w:bookmarkStart w:id="59" w:name="_Toc17283_WPSOffice_Level2"/>
      <w:bookmarkStart w:id="60" w:name="_Toc263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533_WPSOffice_Level2"/>
      <w:bookmarkStart w:id="62" w:name="_Toc13345_WPSOffice_Level2"/>
      <w:bookmarkStart w:id="63" w:name="_Toc21310_WPSOffice_Level2"/>
      <w:bookmarkStart w:id="64" w:name="_Toc11799_WPSOffice_Level2"/>
      <w:bookmarkStart w:id="65" w:name="_Toc5594_WPSOffice_Level2"/>
      <w:bookmarkStart w:id="66" w:name="_Toc602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9377_WPSOffice_Level2"/>
      <w:bookmarkStart w:id="68" w:name="_Toc29886_WPSOffice_Level2"/>
      <w:bookmarkStart w:id="69" w:name="_Toc19961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31264_WPSOffice_Level1"/>
      <w:bookmarkStart w:id="72" w:name="_Toc16686_WPSOffice_Level1"/>
      <w:bookmarkStart w:id="73" w:name="_Toc27590_WPSOffice_Level1"/>
      <w:bookmarkStart w:id="74" w:name="_Toc29683_WPSOffice_Level1"/>
      <w:bookmarkStart w:id="75" w:name="_Toc4402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6265.69</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6265.69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sz w:val="32"/>
          <w:szCs w:val="32"/>
          <w:lang w:val="en-US" w:eastAsia="zh-CN"/>
        </w:rPr>
        <w:t>644.39</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11.5</w:t>
      </w:r>
      <w:r>
        <w:rPr>
          <w:rFonts w:hint="eastAsia" w:ascii="仿宋_GB2312" w:hAnsi="ˎ̥" w:eastAsia="仿宋_GB2312"/>
          <w:sz w:val="32"/>
          <w:szCs w:val="32"/>
        </w:rPr>
        <w:t>%。</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一、增加了项目。二、双共奋进队经费拨付了100万。三、干部职工用氧经费2.58万， 四、雪亮监控平台工作经费537.52万，西部志愿者生活补助经费2.07万。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eastAsia" w:ascii="仿宋_GB2312" w:hAnsi="ˎ̥" w:eastAsia="仿宋_GB2312"/>
          <w:sz w:val="32"/>
          <w:szCs w:val="32"/>
          <w:lang w:val="en-US" w:eastAsia="zh-CN"/>
        </w:rPr>
        <w:t>6.93.74</w:t>
      </w:r>
      <w:r>
        <w:rPr>
          <w:rFonts w:hint="eastAsia" w:ascii="仿宋_GB2312" w:hAnsi="ˎ̥" w:eastAsia="仿宋_GB2312"/>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sz w:val="32"/>
          <w:szCs w:val="32"/>
        </w:rPr>
        <w:t>使用非财政拨款结余</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eastAsia="zh-CN"/>
        </w:rPr>
        <w:t>了</w:t>
      </w:r>
      <w:r>
        <w:rPr>
          <w:rFonts w:hint="eastAsia" w:ascii="仿宋_GB2312" w:hAnsi="ˎ̥" w:eastAsia="仿宋_GB2312"/>
          <w:sz w:val="32"/>
          <w:szCs w:val="32"/>
          <w:lang w:val="en-US" w:eastAsia="zh-CN"/>
        </w:rPr>
        <w:t>644.39</w:t>
      </w:r>
      <w:r>
        <w:rPr>
          <w:rFonts w:hint="eastAsia" w:ascii="仿宋_GB2312" w:hAnsi="ˎ̥" w:eastAsia="仿宋_GB2312"/>
          <w:sz w:val="32"/>
          <w:szCs w:val="32"/>
        </w:rPr>
        <w:t>万元，主要原因是</w:t>
      </w:r>
      <w:r>
        <w:rPr>
          <w:rFonts w:hint="eastAsia" w:ascii="仿宋_GB2312" w:hAnsi="ˎ̥" w:eastAsia="仿宋_GB2312"/>
          <w:color w:val="auto"/>
          <w:sz w:val="32"/>
          <w:szCs w:val="32"/>
          <w:lang w:val="en-US" w:eastAsia="zh-CN"/>
        </w:rPr>
        <w:t>一、增加了项目。二、双共奋进队经费拨付了100万。三、干部职工用氧经费2.58万， 四、雪亮监控平台工作经费537.52万，西部志愿者生活补助经费2.07万。</w:t>
      </w:r>
      <w:bookmarkStart w:id="119" w:name="_GoBack"/>
      <w:bookmarkEnd w:id="119"/>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sz w:val="32"/>
          <w:szCs w:val="32"/>
        </w:rPr>
        <w:t>年初结转结余</w:t>
      </w:r>
      <w:r>
        <w:rPr>
          <w:rFonts w:hint="default" w:ascii="仿宋_GB2312" w:hAnsi="ˎ̥" w:eastAsia="仿宋_GB2312"/>
          <w:color w:val="000000"/>
          <w:sz w:val="32"/>
          <w:szCs w:val="32"/>
          <w:lang w:val="en-US"/>
        </w:rPr>
        <w:t>171.95</w:t>
      </w:r>
      <w:r>
        <w:rPr>
          <w:rFonts w:hint="eastAsia" w:ascii="仿宋_GB2312" w:hAnsi="ˎ̥" w:eastAsia="仿宋_GB2312"/>
          <w:sz w:val="32"/>
          <w:szCs w:val="32"/>
        </w:rPr>
        <w:t>万元，</w:t>
      </w:r>
      <w:r>
        <w:rPr>
          <w:rFonts w:hint="eastAsia" w:ascii="仿宋_GB2312" w:hAnsi="ˎ̥" w:eastAsia="仿宋_GB2312"/>
          <w:color w:val="auto"/>
          <w:sz w:val="32"/>
          <w:szCs w:val="32"/>
        </w:rPr>
        <w:t>主要是</w:t>
      </w:r>
      <w:r>
        <w:rPr>
          <w:rFonts w:hint="eastAsia" w:ascii="仿宋_GB2312" w:hAnsi="ˎ̥" w:eastAsia="仿宋_GB2312"/>
          <w:color w:val="auto"/>
          <w:sz w:val="32"/>
          <w:szCs w:val="32"/>
          <w:lang w:val="en-US" w:eastAsia="zh-CN"/>
        </w:rPr>
        <w:t>其中包括护路队员生活补助、劳务费，这笔资金是按月支出，因此有结余。</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auto"/>
          <w:sz w:val="32"/>
          <w:szCs w:val="32"/>
          <w:lang w:val="en-US" w:eastAsia="zh-CN"/>
        </w:rPr>
        <w:t>356.01</w:t>
      </w:r>
      <w:r>
        <w:rPr>
          <w:rFonts w:hint="eastAsia" w:ascii="仿宋_GB2312" w:hAnsi="ˎ̥" w:eastAsia="仿宋_GB2312"/>
          <w:sz w:val="32"/>
          <w:szCs w:val="32"/>
        </w:rPr>
        <w:t>万元，下降</w:t>
      </w:r>
      <w:r>
        <w:rPr>
          <w:rFonts w:hint="eastAsia" w:ascii="仿宋_GB2312" w:hAnsi="ˎ̥" w:eastAsia="仿宋_GB2312"/>
          <w:color w:val="auto"/>
          <w:sz w:val="32"/>
          <w:szCs w:val="32"/>
          <w:lang w:val="en-US" w:eastAsia="zh-CN"/>
        </w:rPr>
        <w:t>67.4</w:t>
      </w:r>
      <w:r>
        <w:rPr>
          <w:rFonts w:hint="eastAsia" w:ascii="仿宋_GB2312" w:hAnsi="ˎ̥" w:eastAsia="仿宋_GB2312"/>
          <w:sz w:val="32"/>
          <w:szCs w:val="32"/>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项目款都已经足额支出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6265.69</w:t>
      </w:r>
      <w:r>
        <w:rPr>
          <w:rFonts w:hint="eastAsia" w:ascii="仿宋_GB2312" w:hAnsi="ˎ̥" w:eastAsia="仿宋_GB2312"/>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sz w:val="32"/>
          <w:szCs w:val="32"/>
        </w:rPr>
        <w:t>结余分配</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color w:val="auto"/>
          <w:sz w:val="32"/>
          <w:szCs w:val="32"/>
        </w:rPr>
        <w:t>主要是</w:t>
      </w:r>
      <w:r>
        <w:rPr>
          <w:rFonts w:hint="eastAsia" w:ascii="仿宋_GB2312" w:hAnsi="ˎ̥" w:eastAsia="仿宋_GB2312"/>
          <w:color w:val="auto"/>
          <w:sz w:val="32"/>
          <w:szCs w:val="32"/>
          <w:lang w:val="en-US" w:eastAsia="zh-CN"/>
        </w:rPr>
        <w:t>按照上级项目支出用款去向，足额按照所需票据全额支出</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644.39</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eastAsia="zh-CN"/>
        </w:rPr>
        <w:t>了</w:t>
      </w:r>
      <w:r>
        <w:rPr>
          <w:rFonts w:hint="eastAsia" w:ascii="仿宋_GB2312" w:hAnsi="ˎ̥" w:eastAsia="仿宋_GB2312"/>
          <w:sz w:val="32"/>
          <w:szCs w:val="32"/>
          <w:lang w:val="en-US" w:eastAsia="zh-CN"/>
        </w:rPr>
        <w:t>644.39</w:t>
      </w:r>
      <w:r>
        <w:rPr>
          <w:rFonts w:hint="eastAsia" w:ascii="仿宋_GB2312" w:hAnsi="ˎ̥" w:eastAsia="仿宋_GB2312"/>
          <w:sz w:val="32"/>
          <w:szCs w:val="32"/>
        </w:rPr>
        <w:t>万元，主要原因是</w:t>
      </w:r>
      <w:r>
        <w:rPr>
          <w:rFonts w:hint="eastAsia" w:ascii="仿宋_GB2312" w:hAnsi="ˎ̥" w:eastAsia="仿宋_GB2312"/>
          <w:color w:val="auto"/>
          <w:sz w:val="32"/>
          <w:szCs w:val="32"/>
          <w:lang w:val="en-US" w:eastAsia="zh-CN"/>
        </w:rPr>
        <w:t>一、增加了项目。二、双共奋进队经费拨付了100万。三、干部职工用氧经费2.58万， 四、雪亮监控平台工作经费537.52万，西部志愿者生活补助经费2.07万。</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按照上级项目支出用款去向，足额按照所需票据全额支出</w:t>
      </w:r>
      <w:r>
        <w:rPr>
          <w:rFonts w:hint="eastAsia" w:ascii="仿宋_GB2312" w:hAnsi="ˎ̥" w:eastAsia="仿宋_GB2312"/>
          <w:color w:val="auto"/>
          <w:sz w:val="32"/>
          <w:szCs w:val="32"/>
        </w:rPr>
        <w:t>，较202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增长1840.59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增长100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按照上级项目支出用款去向，足额按照所需票据全额支出。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spacing w:line="578" w:lineRule="exact"/>
        <w:ind w:firstLine="640" w:firstLineChars="200"/>
        <w:rPr>
          <w:rFonts w:hint="eastAsia" w:ascii="仿宋_GB2312" w:hAnsi="ˎ̥" w:eastAsia="仿宋_GB2312"/>
          <w:color w:val="auto"/>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000000"/>
          <w:sz w:val="32"/>
          <w:szCs w:val="32"/>
          <w:lang w:val="en-US"/>
        </w:rPr>
        <w:t>6,093.74</w:t>
      </w:r>
      <w:r>
        <w:rPr>
          <w:rFonts w:hint="eastAsia" w:ascii="仿宋_GB2312" w:hAnsi="ˎ̥" w:eastAsia="仿宋_GB2312"/>
          <w:sz w:val="32"/>
          <w:szCs w:val="32"/>
        </w:rPr>
        <w:t>万元，其中：财政拨款收入</w:t>
      </w:r>
      <w:r>
        <w:rPr>
          <w:rFonts w:hint="default" w:ascii="仿宋_GB2312" w:hAnsi="ˎ̥" w:eastAsia="仿宋_GB2312"/>
          <w:color w:val="000000"/>
          <w:sz w:val="32"/>
          <w:szCs w:val="32"/>
          <w:lang w:val="en-US"/>
        </w:rPr>
        <w:t>6,0</w:t>
      </w:r>
      <w:r>
        <w:rPr>
          <w:rFonts w:hint="eastAsia" w:ascii="仿宋_GB2312" w:hAnsi="ˎ̥" w:eastAsia="仿宋_GB2312"/>
          <w:color w:val="000000"/>
          <w:sz w:val="32"/>
          <w:szCs w:val="32"/>
          <w:lang w:val="en-US" w:eastAsia="zh-CN"/>
        </w:rPr>
        <w:t>93.74</w:t>
      </w:r>
      <w:r>
        <w:rPr>
          <w:rFonts w:hint="eastAsia" w:ascii="仿宋_GB2312" w:hAnsi="ˎ̥" w:eastAsia="仿宋_GB2312"/>
          <w:sz w:val="32"/>
          <w:szCs w:val="32"/>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6265.69</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539.79</w:t>
      </w:r>
      <w:r>
        <w:rPr>
          <w:rFonts w:hint="eastAsia" w:ascii="仿宋_GB2312" w:hAnsi="ˎ̥" w:eastAsia="仿宋_GB2312"/>
          <w:sz w:val="32"/>
          <w:szCs w:val="32"/>
        </w:rPr>
        <w:t>万元，占</w:t>
      </w:r>
      <w:r>
        <w:rPr>
          <w:rFonts w:hint="eastAsia" w:ascii="仿宋_GB2312" w:hAnsi="ˎ̥" w:eastAsia="仿宋_GB2312"/>
          <w:sz w:val="32"/>
          <w:szCs w:val="32"/>
          <w:lang w:val="en-US" w:eastAsia="zh-CN"/>
        </w:rPr>
        <w:t>99.11</w:t>
      </w:r>
      <w:r>
        <w:rPr>
          <w:rFonts w:hint="eastAsia" w:ascii="仿宋_GB2312" w:hAnsi="ˎ̥" w:eastAsia="仿宋_GB2312"/>
          <w:sz w:val="32"/>
          <w:szCs w:val="32"/>
        </w:rPr>
        <w:t>%；项目支出</w:t>
      </w:r>
      <w:r>
        <w:rPr>
          <w:rFonts w:hint="default" w:ascii="仿宋_GB2312" w:hAnsi="ˎ̥" w:eastAsia="仿宋_GB2312"/>
          <w:color w:val="000000"/>
          <w:sz w:val="32"/>
          <w:szCs w:val="32"/>
          <w:lang w:val="en-US"/>
        </w:rPr>
        <w:t>5,725.90</w:t>
      </w:r>
      <w:r>
        <w:rPr>
          <w:rFonts w:hint="eastAsia" w:ascii="仿宋_GB2312" w:hAnsi="ˎ̥" w:eastAsia="仿宋_GB2312"/>
          <w:sz w:val="32"/>
          <w:szCs w:val="32"/>
        </w:rPr>
        <w:t>万元，占</w:t>
      </w:r>
      <w:r>
        <w:rPr>
          <w:rFonts w:hint="eastAsia" w:ascii="仿宋_GB2312" w:hAnsi="ˎ̥" w:eastAsia="仿宋_GB2312"/>
          <w:sz w:val="32"/>
          <w:szCs w:val="32"/>
          <w:lang w:val="en-US" w:eastAsia="zh-CN"/>
        </w:rPr>
        <w:t>87.73</w:t>
      </w:r>
      <w:r>
        <w:rPr>
          <w:rFonts w:hint="eastAsia" w:ascii="仿宋_GB2312" w:hAnsi="ˎ̥" w:eastAsia="仿宋_GB2312"/>
          <w:sz w:val="32"/>
          <w:szCs w:val="32"/>
        </w:rPr>
        <w:t>%；上缴上级支出</w:t>
      </w:r>
      <w:r>
        <w:rPr>
          <w:rFonts w:hint="default" w:ascii="仿宋_GB2312" w:hAnsi="ˎ̥" w:eastAsia="仿宋_GB2312"/>
          <w:color w:val="00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000000"/>
          <w:sz w:val="32"/>
          <w:szCs w:val="32"/>
          <w:lang w:val="en-US"/>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000000"/>
          <w:sz w:val="32"/>
          <w:szCs w:val="32"/>
          <w:lang w:val="en-US"/>
        </w:rPr>
        <w:t>6,078.74</w:t>
      </w:r>
      <w:r>
        <w:rPr>
          <w:rFonts w:hint="eastAsia" w:ascii="仿宋_GB2312" w:hAnsi="ˎ̥" w:eastAsia="仿宋_GB2312"/>
          <w:sz w:val="32"/>
          <w:szCs w:val="32"/>
        </w:rPr>
        <w:t>万元，支出</w:t>
      </w:r>
      <w:r>
        <w:rPr>
          <w:rFonts w:hint="default" w:ascii="仿宋_GB2312" w:hAnsi="ˎ̥" w:eastAsia="仿宋_GB2312"/>
          <w:color w:val="000000"/>
          <w:sz w:val="32"/>
          <w:szCs w:val="32"/>
          <w:lang w:val="en-US"/>
        </w:rPr>
        <w:t>6,2</w:t>
      </w:r>
      <w:r>
        <w:rPr>
          <w:rFonts w:hint="eastAsia" w:ascii="仿宋_GB2312" w:hAnsi="ˎ̥" w:eastAsia="仿宋_GB2312"/>
          <w:color w:val="000000"/>
          <w:sz w:val="32"/>
          <w:szCs w:val="32"/>
          <w:lang w:val="en-US" w:eastAsia="zh-CN"/>
        </w:rPr>
        <w:t>65.69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985.4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19.3</w:t>
      </w:r>
      <w:r>
        <w:rPr>
          <w:rFonts w:hint="eastAsia" w:ascii="仿宋_GB2312" w:hAnsi="ˎ̥" w:eastAsia="仿宋_GB2312"/>
          <w:sz w:val="32"/>
          <w:szCs w:val="32"/>
        </w:rPr>
        <w:t>%，主要原因</w:t>
      </w:r>
      <w:r>
        <w:rPr>
          <w:rFonts w:hint="eastAsia" w:ascii="仿宋_GB2312" w:hAnsi="ˎ̥" w:eastAsia="仿宋_GB2312"/>
          <w:color w:val="auto"/>
          <w:sz w:val="32"/>
          <w:szCs w:val="32"/>
          <w:lang w:val="en-US" w:eastAsia="zh-CN"/>
        </w:rPr>
        <w:t>一、增加了项目。二、双共奋进队经费拨付了100万。三、干部职工用氧经费2.58万， 四、雪亮监控平台工作经费537.52万，西部志愿者生活补助经费2.07万。</w:t>
      </w:r>
      <w:r>
        <w:rPr>
          <w:rFonts w:hint="eastAsia" w:ascii="仿宋_GB2312" w:hAnsi="ˎ̥" w:eastAsia="仿宋_GB2312"/>
          <w:sz w:val="32"/>
          <w:szCs w:val="32"/>
        </w:rPr>
        <w:t>支出增加</w:t>
      </w:r>
      <w:r>
        <w:rPr>
          <w:rFonts w:hint="eastAsia" w:ascii="仿宋_GB2312" w:hAnsi="ˎ̥" w:eastAsia="仿宋_GB2312"/>
          <w:sz w:val="32"/>
          <w:szCs w:val="32"/>
          <w:lang w:val="en-US" w:eastAsia="zh-CN"/>
        </w:rPr>
        <w:t>644.39</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11.5</w:t>
      </w:r>
      <w:r>
        <w:rPr>
          <w:rFonts w:hint="eastAsia" w:ascii="仿宋_GB2312" w:hAnsi="ˎ̥" w:eastAsia="仿宋_GB2312"/>
          <w:sz w:val="32"/>
          <w:szCs w:val="32"/>
        </w:rPr>
        <w:t>%，主要原因</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项目增加，支出增加。</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sz w:val="32"/>
          <w:szCs w:val="32"/>
        </w:rPr>
        <w:t>财政拨款年初结转结余</w:t>
      </w:r>
      <w:r>
        <w:rPr>
          <w:rFonts w:hint="default" w:ascii="仿宋_GB2312" w:hAnsi="ˎ̥" w:eastAsia="仿宋_GB2312"/>
          <w:color w:val="000000"/>
          <w:sz w:val="32"/>
          <w:szCs w:val="32"/>
          <w:lang w:val="en-US"/>
        </w:rPr>
        <w:t>171.95</w:t>
      </w:r>
      <w:r>
        <w:rPr>
          <w:rFonts w:hint="eastAsia" w:ascii="仿宋_GB2312" w:hAnsi="ˎ̥" w:eastAsia="仿宋_GB2312"/>
          <w:sz w:val="32"/>
          <w:szCs w:val="32"/>
        </w:rPr>
        <w:t>万元，</w:t>
      </w:r>
      <w:r>
        <w:rPr>
          <w:rFonts w:hint="eastAsia" w:ascii="仿宋_GB2312" w:hAnsi="ˎ̥" w:eastAsia="仿宋_GB2312"/>
          <w:color w:val="auto"/>
          <w:sz w:val="32"/>
          <w:szCs w:val="32"/>
        </w:rPr>
        <w:t>主要是</w:t>
      </w:r>
      <w:r>
        <w:rPr>
          <w:rFonts w:hint="eastAsia" w:ascii="仿宋_GB2312" w:hAnsi="ˎ̥" w:eastAsia="仿宋_GB2312"/>
          <w:color w:val="auto"/>
          <w:sz w:val="32"/>
          <w:szCs w:val="32"/>
          <w:lang w:val="en-US" w:eastAsia="zh-CN"/>
        </w:rPr>
        <w:t>一、项目未竣工尾款未支付。二、有些专项经费未能及时支出。</w:t>
      </w:r>
      <w:r>
        <w:rPr>
          <w:rFonts w:hint="eastAsia" w:ascii="仿宋_GB2312" w:hAnsi="ˎ̥" w:eastAsia="仿宋_GB2312"/>
          <w:color w:val="auto"/>
          <w:sz w:val="32"/>
          <w:szCs w:val="32"/>
        </w:rPr>
        <w:t>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增长356.01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增长92</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项目款都已经足额支出</w:t>
      </w:r>
      <w:r>
        <w:rPr>
          <w:rFonts w:hint="eastAsia" w:ascii="仿宋_GB2312" w:hAnsi="ˎ̥" w:eastAsia="仿宋_GB2312"/>
          <w:color w:val="auto"/>
          <w:sz w:val="32"/>
          <w:szCs w:val="32"/>
        </w:rPr>
        <w:t>。</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按照上级项目支出用款去向，足额按照所需票据全额支出</w:t>
      </w:r>
      <w:r>
        <w:rPr>
          <w:rFonts w:hint="eastAsia" w:ascii="仿宋_GB2312" w:hAnsi="ˎ̥" w:eastAsia="仿宋_GB2312"/>
          <w:color w:val="auto"/>
          <w:sz w:val="32"/>
          <w:szCs w:val="32"/>
        </w:rPr>
        <w:t>，较202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增加985.4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下降100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按照上级项目支出用款去向，足额按照所需票据全额支出。</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3694_WPSOffice_Level2"/>
      <w:bookmarkStart w:id="78" w:name="_Toc21737_WPSOffice_Level2"/>
      <w:bookmarkStart w:id="79" w:name="_Toc19665_WPSOffice_Level2"/>
      <w:bookmarkStart w:id="80" w:name="_Toc23005_WPSOffice_Level2"/>
      <w:bookmarkStart w:id="81" w:name="_Toc17398_WPSOffice_Level2"/>
      <w:bookmarkStart w:id="82" w:name="_Toc9989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sz w:val="32"/>
          <w:szCs w:val="32"/>
        </w:rPr>
        <w:t>一般公共预算财政拨款支出</w:t>
      </w:r>
      <w:r>
        <w:rPr>
          <w:rFonts w:hint="default" w:ascii="仿宋_GB2312" w:hAnsi="ˎ̥" w:eastAsia="仿宋_GB2312"/>
          <w:color w:val="000000"/>
          <w:sz w:val="32"/>
          <w:szCs w:val="32"/>
          <w:lang w:val="en-US"/>
        </w:rPr>
        <w:t>6,2</w:t>
      </w:r>
      <w:r>
        <w:rPr>
          <w:rFonts w:hint="eastAsia" w:ascii="仿宋_GB2312" w:hAnsi="ˎ̥" w:eastAsia="仿宋_GB2312"/>
          <w:color w:val="000000"/>
          <w:sz w:val="32"/>
          <w:szCs w:val="32"/>
          <w:lang w:val="en-US" w:eastAsia="zh-CN"/>
        </w:rPr>
        <w:t>65.69</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985.4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19.3</w:t>
      </w:r>
      <w:r>
        <w:rPr>
          <w:rFonts w:hint="eastAsia" w:ascii="仿宋_GB2312" w:hAnsi="ˎ̥" w:eastAsia="仿宋_GB2312"/>
          <w:sz w:val="32"/>
          <w:szCs w:val="32"/>
        </w:rPr>
        <w:t>%，主要原因</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项目增加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3864_WPSOffice_Level2"/>
      <w:bookmarkStart w:id="84" w:name="_Toc18793_WPSOffice_Level2"/>
      <w:bookmarkStart w:id="85" w:name="_Toc19075_WPSOffice_Level2"/>
      <w:bookmarkStart w:id="86" w:name="_Toc27767_WPSOffice_Level2"/>
      <w:bookmarkStart w:id="87" w:name="_Toc19535_WPSOffice_Level2"/>
      <w:bookmarkStart w:id="88" w:name="_Toc2711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000000"/>
          <w:sz w:val="32"/>
          <w:szCs w:val="32"/>
          <w:lang w:val="en-US"/>
        </w:rPr>
        <w:t>6,250.70</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sz w:val="32"/>
          <w:szCs w:val="32"/>
          <w:lang w:val="en-US" w:eastAsia="zh-CN"/>
        </w:rPr>
        <w:t>2141.99</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34.3</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51.76</w:t>
      </w:r>
      <w:r>
        <w:rPr>
          <w:rFonts w:hint="eastAsia" w:ascii="仿宋_GB2312" w:hAnsi="ˎ̥" w:eastAsia="仿宋_GB2312"/>
          <w:sz w:val="32"/>
          <w:szCs w:val="32"/>
        </w:rPr>
        <w:t>万元，占</w:t>
      </w:r>
      <w:r>
        <w:rPr>
          <w:rFonts w:hint="eastAsia" w:ascii="仿宋_GB2312" w:hAnsi="ˎ̥" w:eastAsia="仿宋_GB2312"/>
          <w:sz w:val="32"/>
          <w:szCs w:val="32"/>
          <w:lang w:val="en-US" w:eastAsia="zh-CN"/>
        </w:rPr>
        <w:t>0.8</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sz w:val="32"/>
          <w:szCs w:val="32"/>
          <w:lang w:val="en-US" w:eastAsia="zh-CN"/>
        </w:rPr>
        <w:t>36.35</w:t>
      </w:r>
      <w:r>
        <w:rPr>
          <w:rFonts w:hint="eastAsia" w:ascii="仿宋_GB2312" w:hAnsi="ˎ̥" w:eastAsia="仿宋_GB2312"/>
          <w:sz w:val="32"/>
          <w:szCs w:val="32"/>
        </w:rPr>
        <w:t>万元，占</w:t>
      </w:r>
      <w:r>
        <w:rPr>
          <w:rFonts w:hint="eastAsia" w:ascii="仿宋_GB2312" w:hAnsi="ˎ̥" w:eastAsia="仿宋_GB2312"/>
          <w:sz w:val="32"/>
          <w:szCs w:val="32"/>
          <w:lang w:val="en-US" w:eastAsia="zh-CN"/>
        </w:rPr>
        <w:t>0.6</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2318_WPSOffice_Level2"/>
      <w:bookmarkStart w:id="90" w:name="_Toc15415_WPSOffice_Level2"/>
      <w:bookmarkStart w:id="91" w:name="_Toc25136_WPSOffice_Level2"/>
      <w:bookmarkStart w:id="92" w:name="_Toc21701_WPSOffice_Level2"/>
      <w:bookmarkStart w:id="93" w:name="_Toc29364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sz w:val="32"/>
          <w:szCs w:val="32"/>
          <w:lang w:val="en-US" w:eastAsia="zh-CN"/>
        </w:rPr>
        <w:t>6078.74</w:t>
      </w:r>
      <w:r>
        <w:rPr>
          <w:rFonts w:hint="eastAsia" w:ascii="仿宋_GB2312" w:hAnsi="ˎ̥" w:eastAsia="仿宋_GB2312"/>
          <w:sz w:val="32"/>
          <w:szCs w:val="32"/>
        </w:rPr>
        <w:t>万元，支出决算为</w:t>
      </w:r>
      <w:r>
        <w:rPr>
          <w:rFonts w:hint="eastAsia" w:ascii="仿宋_GB2312" w:hAnsi="ˎ̥" w:eastAsia="仿宋_GB2312"/>
          <w:color w:val="000000"/>
          <w:sz w:val="32"/>
          <w:szCs w:val="32"/>
          <w:lang w:val="en-US" w:eastAsia="zh-CN"/>
        </w:rPr>
        <w:t>6250.7</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97.2</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%。决算数大于（小于）预算数的主要原因：</w:t>
      </w:r>
      <w:r>
        <w:rPr>
          <w:rFonts w:hint="eastAsia" w:ascii="仿宋_GB2312" w:hAnsi="ˎ̥" w:eastAsia="仿宋_GB2312"/>
          <w:sz w:val="32"/>
          <w:szCs w:val="32"/>
          <w:lang w:eastAsia="zh-CN"/>
        </w:rPr>
        <w:t>不涉及该笔资金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000000"/>
          <w:sz w:val="32"/>
          <w:szCs w:val="32"/>
          <w:lang w:val="en-US" w:eastAsia="zh-CN"/>
        </w:rPr>
        <w:t>539.79</w:t>
      </w:r>
      <w:r>
        <w:rPr>
          <w:rFonts w:hint="eastAsia" w:ascii="仿宋_GB2312" w:hAnsi="ˎ̥" w:eastAsia="仿宋_GB2312"/>
          <w:sz w:val="32"/>
          <w:szCs w:val="32"/>
        </w:rPr>
        <w:t>万元，其中：人员经费</w:t>
      </w:r>
      <w:r>
        <w:rPr>
          <w:rFonts w:hint="eastAsia" w:ascii="仿宋_GB2312" w:hAnsi="ˎ̥" w:eastAsia="仿宋_GB2312"/>
          <w:color w:val="000000"/>
          <w:sz w:val="32"/>
          <w:szCs w:val="32"/>
          <w:lang w:val="en-US" w:eastAsia="zh-CN"/>
        </w:rPr>
        <w:t>503.82</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000000"/>
          <w:sz w:val="32"/>
          <w:szCs w:val="32"/>
          <w:lang w:val="en-US" w:eastAsia="zh-CN"/>
        </w:rPr>
        <w:t>36.63</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%，主要原因是政府性基金预算财政拨款支出</w:t>
      </w:r>
      <w:r>
        <w:rPr>
          <w:rFonts w:hint="eastAsia" w:ascii="仿宋_GB2312" w:hAnsi="ˎ̥" w:eastAsia="仿宋_GB2312"/>
          <w:sz w:val="32"/>
          <w:szCs w:val="32"/>
          <w:lang w:val="en-US" w:eastAsia="zh-CN"/>
        </w:rPr>
        <w:t>未涉及</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w:t>
      </w:r>
      <w:r>
        <w:rPr>
          <w:rFonts w:hint="eastAsia" w:ascii="仿宋_GB2312" w:hAnsi="ˎ̥" w:eastAsia="仿宋_GB2312"/>
          <w:sz w:val="32"/>
          <w:szCs w:val="32"/>
          <w:lang w:val="en-US" w:eastAsia="zh-CN"/>
        </w:rPr>
        <w:t>0</w:t>
      </w:r>
      <w:r>
        <w:rPr>
          <w:rFonts w:hint="eastAsia" w:ascii="仿宋_GB2312" w:hAnsi="ˎ̥" w:eastAsia="仿宋_GB2312"/>
          <w:sz w:val="32"/>
          <w:szCs w:val="32"/>
        </w:rPr>
        <w:t>（类）</w:t>
      </w:r>
      <w:r>
        <w:rPr>
          <w:rFonts w:hint="eastAsia" w:ascii="仿宋_GB2312" w:hAnsi="ˎ̥" w:eastAsia="仿宋_GB2312"/>
          <w:sz w:val="32"/>
          <w:szCs w:val="32"/>
          <w:lang w:val="en-US" w:eastAsia="zh-CN"/>
        </w:rPr>
        <w:t>0</w:t>
      </w:r>
      <w:r>
        <w:rPr>
          <w:rFonts w:hint="eastAsia" w:ascii="仿宋_GB2312" w:hAnsi="ˎ̥" w:eastAsia="仿宋_GB2312"/>
          <w:sz w:val="32"/>
          <w:szCs w:val="32"/>
        </w:rPr>
        <w:t>（款）</w:t>
      </w:r>
      <w:r>
        <w:rPr>
          <w:rFonts w:hint="eastAsia" w:ascii="仿宋_GB2312" w:hAnsi="ˎ̥" w:eastAsia="仿宋_GB2312"/>
          <w:sz w:val="32"/>
          <w:szCs w:val="32"/>
          <w:lang w:val="en-US" w:eastAsia="zh-CN"/>
        </w:rPr>
        <w:t>0</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%。决算数大于（小于）预算数的主要原因：政府性基金预算财政拨款支出</w:t>
      </w:r>
      <w:r>
        <w:rPr>
          <w:rFonts w:hint="eastAsia" w:ascii="仿宋_GB2312" w:hAnsi="ˎ̥" w:eastAsia="仿宋_GB2312"/>
          <w:sz w:val="32"/>
          <w:szCs w:val="32"/>
          <w:lang w:val="en-US" w:eastAsia="zh-CN"/>
        </w:rPr>
        <w:t>未涉及。</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未涉及。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sz w:val="32"/>
          <w:szCs w:val="32"/>
          <w:lang w:val="en-US" w:eastAsia="zh-CN"/>
        </w:rPr>
        <w:t>0</w:t>
      </w:r>
      <w:r>
        <w:rPr>
          <w:rFonts w:hint="eastAsia" w:ascii="仿宋_GB2312" w:hAnsi="ˎ̥" w:eastAsia="仿宋_GB2312"/>
          <w:sz w:val="32"/>
          <w:szCs w:val="32"/>
        </w:rPr>
        <w:t>（类）</w:t>
      </w:r>
      <w:r>
        <w:rPr>
          <w:rFonts w:hint="eastAsia" w:ascii="仿宋_GB2312" w:hAnsi="ˎ̥" w:eastAsia="仿宋_GB2312"/>
          <w:sz w:val="32"/>
          <w:szCs w:val="32"/>
          <w:lang w:val="en-US" w:eastAsia="zh-CN"/>
        </w:rPr>
        <w:t>0</w:t>
      </w:r>
      <w:r>
        <w:rPr>
          <w:rFonts w:hint="eastAsia" w:ascii="仿宋_GB2312" w:hAnsi="ˎ̥" w:eastAsia="仿宋_GB2312"/>
          <w:sz w:val="32"/>
          <w:szCs w:val="32"/>
        </w:rPr>
        <w:t>（款）</w:t>
      </w:r>
      <w:r>
        <w:rPr>
          <w:rFonts w:hint="eastAsia" w:ascii="仿宋_GB2312" w:hAnsi="ˎ̥" w:eastAsia="仿宋_GB2312"/>
          <w:sz w:val="32"/>
          <w:szCs w:val="32"/>
          <w:lang w:val="en-US" w:eastAsia="zh-CN"/>
        </w:rPr>
        <w:t>0</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%。决算数大于（小于）预算数的主要原因：国有资本经营预算财政拨款支出</w:t>
      </w:r>
      <w:r>
        <w:rPr>
          <w:rFonts w:hint="eastAsia" w:ascii="仿宋_GB2312" w:hAnsi="ˎ̥" w:eastAsia="仿宋_GB2312"/>
          <w:sz w:val="32"/>
          <w:szCs w:val="32"/>
          <w:lang w:val="en-US" w:eastAsia="zh-CN"/>
        </w:rPr>
        <w:t>未涉及。</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000000"/>
          <w:sz w:val="32"/>
          <w:szCs w:val="32"/>
          <w:lang w:val="en-US"/>
        </w:rPr>
        <w:t>4.26</w:t>
      </w:r>
      <w:r>
        <w:rPr>
          <w:rFonts w:hint="eastAsia" w:ascii="仿宋_GB2312" w:hAnsi="ˎ̥" w:eastAsia="仿宋_GB2312"/>
          <w:sz w:val="32"/>
          <w:szCs w:val="32"/>
        </w:rPr>
        <w:t>万元，支出决算为</w:t>
      </w:r>
      <w:r>
        <w:rPr>
          <w:rFonts w:hint="default" w:ascii="仿宋_GB2312" w:hAnsi="ˎ̥" w:eastAsia="仿宋_GB2312"/>
          <w:color w:val="000000"/>
          <w:sz w:val="32"/>
          <w:szCs w:val="32"/>
          <w:lang w:val="en-US"/>
        </w:rPr>
        <w:t>4.26</w:t>
      </w:r>
      <w:r>
        <w:rPr>
          <w:rFonts w:hint="eastAsia" w:ascii="仿宋_GB2312" w:hAnsi="ˎ̥" w:eastAsia="仿宋_GB2312"/>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sz w:val="32"/>
          <w:szCs w:val="32"/>
          <w:lang w:val="en-US" w:eastAsia="zh-CN"/>
        </w:rPr>
        <w:t>0.43</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9.17</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rPr>
        <w:t>“三公”经费</w:t>
      </w:r>
      <w:r>
        <w:rPr>
          <w:rFonts w:hint="eastAsia" w:ascii="仿宋_GB2312" w:hAnsi="ˎ̥" w:eastAsia="仿宋_GB2312"/>
          <w:sz w:val="32"/>
          <w:szCs w:val="32"/>
          <w:lang w:val="en-US" w:eastAsia="zh-CN"/>
        </w:rPr>
        <w:t>年初预算为准支出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000000"/>
          <w:sz w:val="32"/>
          <w:szCs w:val="32"/>
          <w:lang w:val="en-US"/>
        </w:rPr>
        <w:t>4.26</w:t>
      </w:r>
      <w:r>
        <w:rPr>
          <w:rFonts w:hint="eastAsia" w:ascii="仿宋_GB2312" w:hAnsi="ˎ̥" w:eastAsia="仿宋_GB2312"/>
          <w:sz w:val="32"/>
          <w:szCs w:val="32"/>
        </w:rPr>
        <w:t>万元，占</w:t>
      </w:r>
      <w:r>
        <w:rPr>
          <w:rFonts w:hint="eastAsia" w:ascii="仿宋_GB2312" w:hAnsi="ˎ̥" w:eastAsia="仿宋_GB2312"/>
          <w:sz w:val="32"/>
          <w:szCs w:val="32"/>
          <w:lang w:val="en-US" w:eastAsia="zh-CN"/>
        </w:rPr>
        <w:t>9.17</w:t>
      </w:r>
      <w:r>
        <w:rPr>
          <w:rFonts w:hint="eastAsia" w:ascii="仿宋_GB2312" w:hAnsi="ˎ̥" w:eastAsia="仿宋_GB2312"/>
          <w:sz w:val="32"/>
          <w:szCs w:val="32"/>
        </w:rPr>
        <w:t>%；公务接待费支出决算</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支</w:t>
      </w:r>
      <w:r>
        <w:rPr>
          <w:rFonts w:hint="eastAsia" w:ascii="仿宋_GB2312" w:hAnsi="ˎ̥" w:eastAsia="仿宋_GB2312"/>
          <w:color w:val="000000"/>
          <w:sz w:val="32"/>
          <w:szCs w:val="32"/>
        </w:rPr>
        <w:t>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支出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比预算数增加（减少）</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default"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因公出国（境）费支出增加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color w:val="000000"/>
          <w:sz w:val="32"/>
          <w:szCs w:val="32"/>
        </w:rPr>
        <w:t>）</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color w:val="000000"/>
          <w:sz w:val="32"/>
          <w:szCs w:val="32"/>
        </w:rPr>
        <w:t>）</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不涉及</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w:t>
      </w:r>
      <w:r>
        <w:rPr>
          <w:rFonts w:hint="eastAsia" w:ascii="仿宋_GB2312" w:hAnsi="ˎ̥" w:eastAsia="仿宋_GB2312"/>
          <w:b w:val="0"/>
          <w:bCs/>
          <w:color w:val="000000"/>
          <w:sz w:val="32"/>
          <w:szCs w:val="32"/>
        </w:rPr>
        <w:t>出</w:t>
      </w:r>
      <w:r>
        <w:rPr>
          <w:rFonts w:hint="default" w:ascii="仿宋_GB2312" w:hAnsi="ˎ̥" w:eastAsia="仿宋_GB2312"/>
          <w:color w:val="000000"/>
          <w:sz w:val="32"/>
          <w:szCs w:val="32"/>
          <w:lang w:val="en-US"/>
        </w:rPr>
        <w:t>4.26</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Cs/>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000000"/>
          <w:sz w:val="32"/>
          <w:szCs w:val="32"/>
          <w:lang w:val="en-US"/>
        </w:rPr>
        <w:t>4.26</w:t>
      </w:r>
      <w:r>
        <w:rPr>
          <w:rFonts w:hint="eastAsia" w:ascii="仿宋_GB2312" w:hAnsi="ˎ̥" w:eastAsia="仿宋_GB2312"/>
          <w:sz w:val="32"/>
          <w:szCs w:val="32"/>
        </w:rPr>
        <w:t>万元，主要用于</w:t>
      </w:r>
      <w:r>
        <w:rPr>
          <w:rFonts w:hint="eastAsia" w:ascii="仿宋_GB2312" w:hAnsi="ˎ̥" w:eastAsia="仿宋_GB2312"/>
          <w:sz w:val="32"/>
          <w:szCs w:val="32"/>
          <w:lang w:val="en-US" w:eastAsia="zh-CN"/>
        </w:rPr>
        <w:t>公车办事油料、维修、保险等。</w:t>
      </w: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color w:val="000000"/>
          <w:sz w:val="32"/>
          <w:szCs w:val="32"/>
          <w:lang w:val="en-US" w:eastAsia="zh-CN"/>
        </w:rPr>
        <w:t>4.26</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完成预算的9.17</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0.43</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9.17</w:t>
      </w:r>
      <w:r>
        <w:rPr>
          <w:rFonts w:hint="eastAsia" w:ascii="仿宋_GB2312" w:hAnsi="ˎ̥" w:eastAsia="仿宋_GB2312"/>
          <w:sz w:val="32"/>
          <w:szCs w:val="32"/>
        </w:rPr>
        <w:t>%，主要原因是“三公”经费</w:t>
      </w:r>
      <w:r>
        <w:rPr>
          <w:rFonts w:hint="eastAsia" w:ascii="仿宋_GB2312" w:hAnsi="ˎ̥" w:eastAsia="仿宋_GB2312"/>
          <w:sz w:val="32"/>
          <w:szCs w:val="32"/>
          <w:lang w:val="en-US" w:eastAsia="zh-CN"/>
        </w:rPr>
        <w:t>年初预算为准支出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w:t>
      </w:r>
      <w:r>
        <w:rPr>
          <w:rFonts w:hint="eastAsia" w:ascii="仿宋_GB2312" w:hAnsi="ˎ̥" w:eastAsia="仿宋_GB2312"/>
          <w:color w:val="000000"/>
          <w:sz w:val="32"/>
          <w:szCs w:val="32"/>
        </w:rPr>
        <w:t>出</w:t>
      </w:r>
      <w:r>
        <w:rPr>
          <w:rFonts w:hint="eastAsia" w:ascii="仿宋_GB2312" w:hAnsi="ˎ̥" w:eastAsia="仿宋_GB2312"/>
          <w:color w:val="000000"/>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hAnsi="ˎ̥" w:eastAsia="仿宋_GB2312"/>
          <w:color w:val="000000"/>
          <w:sz w:val="32"/>
          <w:szCs w:val="32"/>
          <w:lang w:val="en-US" w:eastAsia="zh-CN"/>
        </w:rPr>
        <w:t>5725.9</w:t>
      </w:r>
      <w:r>
        <w:rPr>
          <w:rFonts w:hint="eastAsia" w:ascii="仿宋_GB2312" w:eastAsia="仿宋_GB2312"/>
          <w:sz w:val="32"/>
          <w:szCs w:val="32"/>
          <w:lang w:val="en-US" w:eastAsia="zh-CN"/>
        </w:rPr>
        <w:t>万元，占一般公共预算项目支出总额的87.7%</w:t>
      </w:r>
      <w:r>
        <w:rPr>
          <w:rFonts w:hint="eastAsia" w:ascii="仿宋_GB2312" w:eastAsia="仿宋_GB2312"/>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综治工作经费</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扫黑经费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铁路护路经费</w:t>
      </w:r>
      <w:r>
        <w:rPr>
          <w:rFonts w:hint="eastAsia" w:ascii="仿宋_GB2312" w:eastAsia="仿宋_GB2312"/>
          <w:color w:val="auto"/>
          <w:sz w:val="32"/>
          <w:szCs w:val="32"/>
          <w:lang w:eastAsia="zh-CN"/>
        </w:rPr>
        <w:t>”</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5725.9</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我委无</w:t>
      </w:r>
      <w:r>
        <w:rPr>
          <w:rFonts w:hint="eastAsia" w:ascii="仿宋_GB2312" w:eastAsia="仿宋_GB2312"/>
          <w:color w:val="auto"/>
          <w:sz w:val="32"/>
          <w:szCs w:val="32"/>
          <w:lang w:bidi="ar"/>
        </w:rPr>
        <w:t>政府性基金预算支出</w:t>
      </w:r>
      <w:r>
        <w:rPr>
          <w:rFonts w:hint="eastAsia" w:ascii="仿宋_GB2312" w:eastAsia="仿宋_GB2312"/>
          <w:color w:val="auto"/>
          <w:sz w:val="32"/>
          <w:szCs w:val="32"/>
          <w:lang w:eastAsia="zh-CN" w:bidi="ar"/>
        </w:rPr>
        <w:t>，</w:t>
      </w:r>
      <w:r>
        <w:rPr>
          <w:rFonts w:hint="eastAsia" w:ascii="仿宋_GB2312" w:eastAsia="仿宋_GB2312"/>
          <w:color w:val="auto"/>
          <w:sz w:val="32"/>
          <w:szCs w:val="32"/>
          <w:lang w:bidi="ar"/>
        </w:rPr>
        <w:t>国有资本经营预算支出</w:t>
      </w:r>
      <w:r>
        <w:rPr>
          <w:rFonts w:hint="eastAsia" w:ascii="仿宋_GB2312" w:eastAsia="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spacing w:line="480" w:lineRule="auto"/>
        <w:ind w:firstLine="640"/>
        <w:jc w:val="left"/>
        <w:rPr>
          <w:rFonts w:hint="eastAsia" w:ascii="仿宋_GB2312" w:eastAsia="仿宋_GB2312"/>
          <w:color w:val="auto"/>
          <w:sz w:val="32"/>
          <w:szCs w:val="32"/>
        </w:rPr>
      </w:pPr>
      <w:r>
        <w:rPr>
          <w:rFonts w:hint="eastAsia" w:ascii="仿宋_GB2312" w:eastAsia="仿宋_GB2312"/>
          <w:color w:val="auto"/>
          <w:sz w:val="32"/>
          <w:szCs w:val="32"/>
        </w:rPr>
        <w:t>我部门（单位）在部门决算中反映双联户户长补助项目绩效自评结果（包括项目绩效自评表和项目绩效自评报告）。</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双联户户长补助项目绩效自评表：</w:t>
      </w:r>
    </w:p>
    <w:p>
      <w:pPr>
        <w:spacing w:line="578"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双联户户长补助项目绩效自评报告：根据年初设定的绩效目标，项目绩效自评得分为</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695.4</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695.4</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val="en-US" w:eastAsia="zh-CN"/>
        </w:rPr>
        <w:t>按照要求拨付联户长1人2000元标准发放；</w:t>
      </w:r>
      <w:r>
        <w:rPr>
          <w:rFonts w:hint="eastAsia" w:ascii="仿宋_GB2312" w:eastAsia="仿宋_GB2312"/>
          <w:color w:val="auto"/>
          <w:sz w:val="32"/>
          <w:szCs w:val="32"/>
        </w:rPr>
        <w:t>二是</w:t>
      </w:r>
      <w:r>
        <w:rPr>
          <w:rFonts w:hint="eastAsia" w:ascii="仿宋_GB2312" w:eastAsia="仿宋_GB2312"/>
          <w:color w:val="auto"/>
          <w:sz w:val="32"/>
          <w:szCs w:val="32"/>
          <w:lang w:val="en-US" w:eastAsia="zh-CN"/>
        </w:rPr>
        <w:t>分上下半年2次发放到个人卡中。</w:t>
      </w:r>
      <w:r>
        <w:rPr>
          <w:rFonts w:hint="eastAsia" w:ascii="仿宋_GB2312" w:eastAsia="仿宋_GB2312"/>
          <w:color w:val="auto"/>
          <w:sz w:val="32"/>
          <w:szCs w:val="32"/>
        </w:rPr>
        <w:t>发现的主要问题及原因：</w:t>
      </w:r>
      <w:r>
        <w:rPr>
          <w:rFonts w:hint="eastAsia" w:ascii="仿宋_GB2312" w:eastAsia="仿宋_GB2312"/>
          <w:color w:val="auto"/>
          <w:sz w:val="32"/>
          <w:szCs w:val="32"/>
          <w:lang w:val="en-US" w:eastAsia="zh-CN"/>
        </w:rPr>
        <w:t>有卡号不正确或注销原因，不能第一时间到账，有退款。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5262_WPSOffice_Level2"/>
      <w:bookmarkStart w:id="96" w:name="_Toc18325_WPSOffice_Level2"/>
      <w:bookmarkStart w:id="97" w:name="_Toc32639_WPSOffice_Level2"/>
      <w:bookmarkStart w:id="98" w:name="_Toc15565_WPSOffice_Level2"/>
      <w:bookmarkStart w:id="99" w:name="_Toc23598_WPSOffice_Level2"/>
      <w:bookmarkStart w:id="100" w:name="_Toc597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default" w:ascii="仿宋_GB2312" w:hAnsi="ˎ̥" w:eastAsia="仿宋_GB2312"/>
          <w:color w:val="auto"/>
          <w:sz w:val="32"/>
          <w:szCs w:val="32"/>
          <w:lang w:val="en-US"/>
        </w:rPr>
        <w:t>中共色尼区委政法委机关</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35.97</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auto"/>
          <w:sz w:val="32"/>
          <w:szCs w:val="32"/>
          <w:lang w:val="en-US" w:eastAsia="zh-CN"/>
        </w:rPr>
        <w:t>4.41</w:t>
      </w:r>
      <w:r>
        <w:rPr>
          <w:rFonts w:hint="eastAsia" w:ascii="仿宋_GB2312" w:hAnsi="ˎ̥" w:eastAsia="仿宋_GB2312"/>
          <w:color w:val="auto"/>
          <w:sz w:val="32"/>
          <w:szCs w:val="32"/>
        </w:rPr>
        <w:t>万元，降低</w:t>
      </w:r>
      <w:r>
        <w:rPr>
          <w:rFonts w:hint="eastAsia" w:ascii="仿宋_GB2312" w:hAnsi="ˎ̥" w:eastAsia="仿宋_GB2312"/>
          <w:color w:val="auto"/>
          <w:sz w:val="32"/>
          <w:szCs w:val="32"/>
          <w:lang w:val="en-US" w:eastAsia="zh-CN"/>
        </w:rPr>
        <w:t>14.91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办公设施设备购置经费增加/人员编制数量减少/落实过紧日子要求压减等</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bCs/>
          <w:color w:val="auto"/>
          <w:sz w:val="32"/>
          <w:szCs w:val="32"/>
        </w:rPr>
      </w:pPr>
      <w:bookmarkStart w:id="101" w:name="_Toc3131_WPSOffice_Level2"/>
      <w:bookmarkStart w:id="102" w:name="_Toc32689_WPSOffice_Level2"/>
      <w:bookmarkStart w:id="103" w:name="_Toc13084_WPSOffice_Level2"/>
      <w:bookmarkStart w:id="104" w:name="_Toc30383_WPSOffice_Level2"/>
      <w:bookmarkStart w:id="105" w:name="_Toc23966_WPSOffice_Level2"/>
      <w:bookmarkStart w:id="106" w:name="_Toc25333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spacing w:line="578" w:lineRule="exact"/>
        <w:ind w:firstLine="640" w:firstLineChars="200"/>
        <w:jc w:val="left"/>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default" w:ascii="仿宋_GB2312" w:hAnsi="ˎ̥" w:eastAsia="仿宋_GB2312"/>
          <w:color w:val="auto"/>
          <w:sz w:val="32"/>
          <w:szCs w:val="32"/>
          <w:lang w:val="en-US"/>
        </w:rPr>
        <w:t>中共色尼区委政法委机关</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bCs/>
          <w:color w:val="auto"/>
          <w:sz w:val="32"/>
          <w:szCs w:val="32"/>
        </w:rPr>
      </w:pPr>
      <w:bookmarkStart w:id="107" w:name="_Toc19989_WPSOffice_Level2"/>
      <w:bookmarkStart w:id="108" w:name="_Toc29584_WPSOffice_Level2"/>
      <w:bookmarkStart w:id="109" w:name="_Toc10902_WPSOffice_Level2"/>
      <w:bookmarkStart w:id="110" w:name="_Toc6016_WPSOffice_Level2"/>
      <w:bookmarkStart w:id="111" w:name="_Toc527_WPSOffice_Level2"/>
      <w:bookmarkStart w:id="112" w:name="_Toc15129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bCs/>
          <w:color w:val="auto"/>
          <w:sz w:val="32"/>
          <w:szCs w:val="32"/>
        </w:rPr>
        <w:t>截至202</w:t>
      </w:r>
      <w:r>
        <w:rPr>
          <w:rFonts w:hint="eastAsia" w:ascii="仿宋_GB2312" w:hAnsi="ˎ̥" w:eastAsia="仿宋_GB2312"/>
          <w:bCs/>
          <w:color w:val="auto"/>
          <w:sz w:val="32"/>
          <w:szCs w:val="32"/>
          <w:lang w:val="en-US" w:eastAsia="zh-CN"/>
        </w:rPr>
        <w:t>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平方米，其中：办公用房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平方米，业务用房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平方米，其他（不含构筑物）</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辆。单价</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4398_WPSOffice_Level1"/>
      <w:bookmarkStart w:id="114" w:name="_Toc15425_WPSOffice_Level1"/>
      <w:bookmarkStart w:id="115" w:name="_Toc8874_WPSOffice_Level1"/>
      <w:bookmarkStart w:id="116" w:name="_Toc11039_WPSOffice_Level1"/>
      <w:bookmarkStart w:id="117" w:name="_Toc17580_WPSOffice_Level1"/>
      <w:bookmarkStart w:id="118" w:name="_Toc8808_WPSOffice_Level1"/>
    </w:p>
    <w:p>
      <w:pPr>
        <w:keepNext w:val="0"/>
        <w:keepLines w:val="0"/>
        <w:pageBreakBefore w:val="0"/>
        <w:widowControl w:val="0"/>
        <w:kinsoku/>
        <w:wordWrap/>
        <w:overflowPunct/>
        <w:topLinePunct w:val="0"/>
        <w:autoSpaceDE/>
        <w:autoSpaceDN/>
        <w:bidi w:val="0"/>
        <w:adjustRightInd/>
        <w:snapToGrid/>
        <w:spacing w:line="578" w:lineRule="exact"/>
        <w:ind w:firstLine="2560" w:firstLineChars="800"/>
        <w:jc w:val="both"/>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000000" w:themeColor="text1"/>
          <w:sz w:val="32"/>
          <w:szCs w:val="32"/>
          <w14:textFill>
            <w14:solidFill>
              <w14:schemeClr w14:val="tx1"/>
            </w14:solidFill>
          </w14:textFill>
        </w:rPr>
        <w:t>XXXX</w:t>
      </w:r>
      <w:r>
        <w:rPr>
          <w:rFonts w:hint="eastAsia" w:ascii="仿宋_GB2312" w:hAnsi="ˎ̥" w:eastAsia="仿宋_GB2312"/>
          <w:sz w:val="32"/>
          <w:szCs w:val="32"/>
        </w:rPr>
        <w:t>（类）</w:t>
      </w:r>
      <w:r>
        <w:rPr>
          <w:rFonts w:hint="eastAsia" w:ascii="仿宋_GB2312" w:hAnsi="ˎ̥" w:eastAsia="仿宋_GB2312"/>
          <w:color w:val="000000" w:themeColor="text1"/>
          <w:sz w:val="32"/>
          <w:szCs w:val="32"/>
          <w14:textFill>
            <w14:solidFill>
              <w14:schemeClr w14:val="tx1"/>
            </w14:solidFill>
          </w14:textFill>
        </w:rPr>
        <w:t>XXXX</w:t>
      </w:r>
      <w:r>
        <w:rPr>
          <w:rFonts w:hint="eastAsia" w:ascii="仿宋_GB2312" w:hAnsi="ˎ̥" w:eastAsia="仿宋_GB2312"/>
          <w:sz w:val="32"/>
          <w:szCs w:val="32"/>
        </w:rPr>
        <w:t>（款）</w:t>
      </w:r>
      <w:r>
        <w:rPr>
          <w:rFonts w:hint="eastAsia" w:ascii="仿宋_GB2312" w:hAnsi="ˎ̥" w:eastAsia="仿宋_GB2312"/>
          <w:color w:val="000000" w:themeColor="text1"/>
          <w:sz w:val="32"/>
          <w:szCs w:val="32"/>
          <w14:textFill>
            <w14:solidFill>
              <w14:schemeClr w14:val="tx1"/>
            </w14:solidFill>
          </w14:textFill>
        </w:rPr>
        <w:t>XXXX</w:t>
      </w:r>
      <w:r>
        <w:rPr>
          <w:rFonts w:hint="eastAsia" w:ascii="仿宋_GB2312" w:hAnsi="ˎ̥" w:eastAsia="仿宋_GB2312"/>
          <w:sz w:val="32"/>
          <w:szCs w:val="32"/>
        </w:rPr>
        <w:t>（项</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000000" w:themeColor="text1"/>
          <w:sz w:val="32"/>
          <w:szCs w:val="32"/>
          <w14:textFill>
            <w14:solidFill>
              <w14:schemeClr w14:val="tx1"/>
            </w14:solidFill>
          </w14:textFill>
        </w:rPr>
        <w:t>XXXX</w:t>
      </w:r>
      <w:r>
        <w:rPr>
          <w:rFonts w:hint="eastAsia" w:ascii="仿宋_GB2312" w:hAnsi="ˎ̥" w:eastAsia="仿宋_GB2312"/>
          <w:sz w:val="32"/>
          <w:szCs w:val="32"/>
        </w:rPr>
        <w:t>（类）</w:t>
      </w:r>
      <w:r>
        <w:rPr>
          <w:rFonts w:hint="eastAsia" w:ascii="仿宋_GB2312" w:hAnsi="ˎ̥" w:eastAsia="仿宋_GB2312"/>
          <w:color w:val="000000" w:themeColor="text1"/>
          <w:sz w:val="32"/>
          <w:szCs w:val="32"/>
          <w14:textFill>
            <w14:solidFill>
              <w14:schemeClr w14:val="tx1"/>
            </w14:solidFill>
          </w14:textFill>
        </w:rPr>
        <w:t>XXXX</w:t>
      </w:r>
      <w:r>
        <w:rPr>
          <w:rFonts w:hint="eastAsia" w:ascii="仿宋_GB2312" w:hAnsi="ˎ̥" w:eastAsia="仿宋_GB2312"/>
          <w:sz w:val="32"/>
          <w:szCs w:val="32"/>
        </w:rPr>
        <w:t>（款</w:t>
      </w:r>
      <w:r>
        <w:rPr>
          <w:rFonts w:hint="eastAsia" w:ascii="仿宋_GB2312" w:hAnsi="ˎ̥" w:eastAsia="仿宋_GB2312"/>
          <w:color w:val="000000" w:themeColor="text1"/>
          <w:sz w:val="32"/>
          <w:szCs w:val="32"/>
          <w14:textFill>
            <w14:solidFill>
              <w14:schemeClr w14:val="tx1"/>
            </w14:solidFill>
          </w14:textFill>
        </w:rPr>
        <w:t>）XXXX</w:t>
      </w:r>
      <w:r>
        <w:rPr>
          <w:rFonts w:hint="eastAsia" w:ascii="仿宋_GB2312" w:hAnsi="ˎ̥" w:eastAsia="仿宋_GB2312"/>
          <w:sz w:val="32"/>
          <w:szCs w:val="32"/>
        </w:rPr>
        <w:t>（项）</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9B44E"/>
    <w:multiLevelType w:val="singleLevel"/>
    <w:tmpl w:val="8359B44E"/>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B3E8013F"/>
    <w:multiLevelType w:val="singleLevel"/>
    <w:tmpl w:val="B3E8013F"/>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AFC29C9"/>
    <w:rsid w:val="1CA52F2E"/>
    <w:rsid w:val="1DFE370B"/>
    <w:rsid w:val="1E3630B9"/>
    <w:rsid w:val="26EEC2B5"/>
    <w:rsid w:val="278027B9"/>
    <w:rsid w:val="29472309"/>
    <w:rsid w:val="29897EDE"/>
    <w:rsid w:val="2B406E77"/>
    <w:rsid w:val="2C2A0C43"/>
    <w:rsid w:val="2D1E73A5"/>
    <w:rsid w:val="32717154"/>
    <w:rsid w:val="34B63260"/>
    <w:rsid w:val="37FDA7E2"/>
    <w:rsid w:val="3A314D88"/>
    <w:rsid w:val="3A746883"/>
    <w:rsid w:val="3B996FD9"/>
    <w:rsid w:val="3CA15DE9"/>
    <w:rsid w:val="3FE61EE5"/>
    <w:rsid w:val="406508EE"/>
    <w:rsid w:val="408D6263"/>
    <w:rsid w:val="41B40CEE"/>
    <w:rsid w:val="48317291"/>
    <w:rsid w:val="485F7024"/>
    <w:rsid w:val="48E70666"/>
    <w:rsid w:val="4C6877E5"/>
    <w:rsid w:val="4D6A468D"/>
    <w:rsid w:val="4EA86137"/>
    <w:rsid w:val="566D2C9B"/>
    <w:rsid w:val="56CA7FD0"/>
    <w:rsid w:val="57FA38D1"/>
    <w:rsid w:val="5A156098"/>
    <w:rsid w:val="5C315BF4"/>
    <w:rsid w:val="5D501CC4"/>
    <w:rsid w:val="5D673C20"/>
    <w:rsid w:val="5F7D3333"/>
    <w:rsid w:val="61385890"/>
    <w:rsid w:val="65C41D51"/>
    <w:rsid w:val="687436E1"/>
    <w:rsid w:val="6B3A70CE"/>
    <w:rsid w:val="6DA45C50"/>
    <w:rsid w:val="6E9A7825"/>
    <w:rsid w:val="6F670F9B"/>
    <w:rsid w:val="737450E0"/>
    <w:rsid w:val="739F1712"/>
    <w:rsid w:val="74054476"/>
    <w:rsid w:val="742F38C4"/>
    <w:rsid w:val="74AB66DC"/>
    <w:rsid w:val="74C4154C"/>
    <w:rsid w:val="75956FFF"/>
    <w:rsid w:val="77AA2D01"/>
    <w:rsid w:val="77F405ED"/>
    <w:rsid w:val="7CDE1DBD"/>
    <w:rsid w:val="7D943A85"/>
    <w:rsid w:val="7DB0448C"/>
    <w:rsid w:val="7E5F9AA4"/>
    <w:rsid w:val="8FFC8888"/>
    <w:rsid w:val="A7F73C99"/>
    <w:rsid w:val="BFFE3BF4"/>
    <w:rsid w:val="DFEBDA37"/>
    <w:rsid w:val="EF6FCA1D"/>
    <w:rsid w:val="EFFF57D6"/>
    <w:rsid w:val="FD33A2D0"/>
    <w:rsid w:val="FF7FA20F"/>
    <w:rsid w:val="FFFE81A3"/>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3" w:lineRule="auto"/>
      <w:outlineLvl w:val="2"/>
    </w:pPr>
    <w:rPr>
      <w:rFonts w:cs="Times New Roman"/>
      <w:b/>
      <w:bCs/>
      <w:kern w:val="0"/>
      <w:sz w:val="32"/>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subject"/>
    <w:basedOn w:val="4"/>
    <w:next w:val="4"/>
    <w:link w:val="15"/>
    <w:qFormat/>
    <w:uiPriority w:val="0"/>
    <w:rPr>
      <w:b/>
      <w:bCs/>
    </w:rPr>
  </w:style>
  <w:style w:type="paragraph" w:styleId="4">
    <w:name w:val="annotation text"/>
    <w:basedOn w:val="1"/>
    <w:link w:val="12"/>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annotation reference"/>
    <w:qFormat/>
    <w:uiPriority w:val="0"/>
    <w:rPr>
      <w:sz w:val="21"/>
      <w:szCs w:val="21"/>
    </w:rPr>
  </w:style>
  <w:style w:type="character" w:customStyle="1" w:styleId="12">
    <w:name w:val="批注文字 Char"/>
    <w:link w:val="4"/>
    <w:qFormat/>
    <w:uiPriority w:val="0"/>
    <w:rPr>
      <w:kern w:val="2"/>
      <w:sz w:val="21"/>
      <w:szCs w:val="24"/>
    </w:rPr>
  </w:style>
  <w:style w:type="character" w:customStyle="1" w:styleId="13">
    <w:name w:val="批注框文本 Char"/>
    <w:link w:val="5"/>
    <w:qFormat/>
    <w:uiPriority w:val="0"/>
    <w:rPr>
      <w:kern w:val="2"/>
      <w:sz w:val="18"/>
      <w:szCs w:val="18"/>
    </w:rPr>
  </w:style>
  <w:style w:type="character" w:customStyle="1" w:styleId="14">
    <w:name w:val="页眉 Char"/>
    <w:link w:val="7"/>
    <w:qFormat/>
    <w:uiPriority w:val="0"/>
    <w:rPr>
      <w:kern w:val="2"/>
      <w:sz w:val="18"/>
      <w:szCs w:val="18"/>
    </w:rPr>
  </w:style>
  <w:style w:type="character" w:customStyle="1" w:styleId="15">
    <w:name w:val="批注主题 Char"/>
    <w:link w:val="3"/>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0</TotalTime>
  <ScaleCrop>false</ScaleCrop>
  <LinksUpToDate>false</LinksUpToDate>
  <CharactersWithSpaces>10608</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2025-10-09T10:32:41Z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