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jc w:val="both"/>
        <w:rPr>
          <w:rFonts w:hint="eastAsia" w:ascii="黑体" w:hAnsi="ˎ̥" w:eastAsia="黑体"/>
          <w:b/>
          <w:color w:val="000000" w:themeColor="text1"/>
          <w:sz w:val="32"/>
          <w:szCs w:val="32"/>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14:textFill>
            <w14:solidFill>
              <w14:schemeClr w14:val="tx1"/>
            </w14:solidFill>
          </w14:textFill>
        </w:rPr>
        <w:t>色尼区人大办机关2024年度部门决算公开报告</w:t>
      </w:r>
    </w:p>
    <w:p>
      <w:pPr>
        <w:spacing w:line="578" w:lineRule="exact"/>
        <w:jc w:val="both"/>
        <w:rPr>
          <w:rFonts w:hint="eastAsia" w:ascii="黑体" w:hAnsi="ˎ̥" w:eastAsia="黑体"/>
          <w:b/>
          <w:color w:val="000000" w:themeColor="text1"/>
          <w:sz w:val="32"/>
          <w:szCs w:val="32"/>
          <w14:textFill>
            <w14:solidFill>
              <w14:schemeClr w14:val="tx1"/>
            </w14:solidFill>
          </w14:textFill>
        </w:rPr>
      </w:pPr>
    </w:p>
    <w:p>
      <w:pPr>
        <w:spacing w:line="578" w:lineRule="exact"/>
        <w:jc w:val="center"/>
        <w:rPr>
          <w:rFonts w:hint="eastAsia" w:ascii="黑体" w:hAnsi="黑体" w:eastAsia="黑体" w:cs="黑体"/>
          <w:color w:val="000000" w:themeColor="text1"/>
          <w:sz w:val="44"/>
          <w:szCs w:val="44"/>
          <w14:textFill>
            <w14:solidFill>
              <w14:schemeClr w14:val="tx1"/>
            </w14:solidFill>
          </w14:textFill>
        </w:rPr>
      </w:pPr>
      <w:bookmarkStart w:id="0" w:name="_Toc11440_WPSOffice_Type2"/>
      <w:r>
        <w:rPr>
          <w:rFonts w:hint="eastAsia" w:ascii="黑体" w:hAnsi="黑体" w:eastAsia="黑体" w:cs="黑体"/>
          <w:color w:val="000000" w:themeColor="text1"/>
          <w:sz w:val="44"/>
          <w:szCs w:val="44"/>
          <w14:textFill>
            <w14:solidFill>
              <w14:schemeClr w14:val="tx1"/>
            </w14:solidFill>
          </w14:textFill>
        </w:rPr>
        <w:t>目  录</w:t>
      </w:r>
    </w:p>
    <w:p>
      <w:pPr>
        <w:pStyle w:val="15"/>
        <w:tabs>
          <w:tab w:val="right" w:leader="dot" w:pos="8306"/>
        </w:tabs>
        <w:spacing w:line="578" w:lineRule="exact"/>
        <w:rPr>
          <w:rFonts w:hint="eastAsia"/>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HYPERLINK \l _Toc1704_WPSOffice_Level1 </w:instrText>
      </w:r>
      <w:r>
        <w:rPr>
          <w:color w:val="000000" w:themeColor="text1"/>
          <w:sz w:val="32"/>
          <w:szCs w:val="32"/>
          <w14:textFill>
            <w14:solidFill>
              <w14:schemeClr w14:val="tx1"/>
            </w14:solidFill>
          </w14:textFill>
        </w:rPr>
        <w:fldChar w:fldCharType="separate"/>
      </w:r>
      <w:r>
        <w:rPr>
          <w:rFonts w:hint="eastAsia" w:ascii="黑体" w:hAnsi="ˎ̥" w:eastAsia="黑体"/>
          <w:color w:val="000000" w:themeColor="text1"/>
          <w:sz w:val="32"/>
          <w:szCs w:val="32"/>
          <w14:textFill>
            <w14:solidFill>
              <w14:schemeClr w14:val="tx1"/>
            </w14:solidFill>
          </w14:textFill>
        </w:rPr>
        <w:t>第一部分 基本情况</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end"/>
      </w:r>
      <w:r>
        <w:rPr>
          <w:rFonts w:hint="eastAsia"/>
          <w:color w:val="000000" w:themeColor="text1"/>
          <w:sz w:val="32"/>
          <w:szCs w:val="32"/>
          <w14:textFill>
            <w14:solidFill>
              <w14:schemeClr w14:val="tx1"/>
            </w14:solidFill>
          </w14:textFill>
        </w:rPr>
        <w:t>2</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_Toc20274_WPSOffice_Level2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一、部门（单位）职责</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2</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_Toc4833_WPSOffice_Level2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color w:val="000000" w:themeColor="text1"/>
          <w:sz w:val="32"/>
          <w:szCs w:val="32"/>
          <w14:textFill>
            <w14:solidFill>
              <w14:schemeClr w14:val="tx1"/>
            </w14:solidFill>
          </w14:textFill>
        </w:rPr>
        <w:t>二、机构设置</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2</w:t>
      </w:r>
    </w:p>
    <w:p>
      <w:pPr>
        <w:pStyle w:val="15"/>
        <w:tabs>
          <w:tab w:val="right" w:leader="dot" w:pos="8306"/>
        </w:tabs>
        <w:spacing w:line="578" w:lineRule="exact"/>
        <w:rPr>
          <w:rFonts w:hint="eastAsia"/>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HYPERLINK \l _Toc28253_WPSOffice_Level1 </w:instrText>
      </w:r>
      <w:r>
        <w:rPr>
          <w:color w:val="000000" w:themeColor="text1"/>
          <w:sz w:val="32"/>
          <w:szCs w:val="32"/>
          <w14:textFill>
            <w14:solidFill>
              <w14:schemeClr w14:val="tx1"/>
            </w14:solidFill>
          </w14:textFill>
        </w:rPr>
        <w:fldChar w:fldCharType="separate"/>
      </w:r>
      <w:r>
        <w:rPr>
          <w:rFonts w:hint="eastAsia" w:ascii="黑体" w:hAnsi="ˎ̥" w:eastAsia="黑体"/>
          <w:color w:val="000000" w:themeColor="text1"/>
          <w:sz w:val="32"/>
          <w:szCs w:val="32"/>
          <w14:textFill>
            <w14:solidFill>
              <w14:schemeClr w14:val="tx1"/>
            </w14:solidFill>
          </w14:textFill>
        </w:rPr>
        <w:t xml:space="preserve">第二部分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年度部门决算公开表</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end"/>
      </w:r>
      <w:r>
        <w:rPr>
          <w:rFonts w:hint="eastAsia"/>
          <w:color w:val="000000" w:themeColor="text1"/>
          <w:sz w:val="32"/>
          <w:szCs w:val="32"/>
          <w14:textFill>
            <w14:solidFill>
              <w14:schemeClr w14:val="tx1"/>
            </w14:solidFill>
          </w14:textFill>
        </w:rPr>
        <w:t>2</w:t>
      </w:r>
    </w:p>
    <w:p>
      <w:pPr>
        <w:pStyle w:val="15"/>
        <w:tabs>
          <w:tab w:val="right" w:leader="dot" w:pos="8306"/>
        </w:tabs>
        <w:spacing w:line="578" w:lineRule="exact"/>
        <w:rPr>
          <w:rFonts w:hint="eastAsia"/>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HYPERLINK \l _Toc27590_WPSOffice_Level1 </w:instrText>
      </w:r>
      <w:r>
        <w:rPr>
          <w:color w:val="000000" w:themeColor="text1"/>
          <w:sz w:val="32"/>
          <w:szCs w:val="32"/>
          <w14:textFill>
            <w14:solidFill>
              <w14:schemeClr w14:val="tx1"/>
            </w14:solidFill>
          </w14:textFill>
        </w:rPr>
        <w:fldChar w:fldCharType="separate"/>
      </w:r>
      <w:r>
        <w:rPr>
          <w:rFonts w:hint="eastAsia" w:ascii="黑体" w:hAnsi="黑体" w:eastAsia="黑体" w:cs="黑体"/>
          <w:color w:val="000000" w:themeColor="text1"/>
          <w:sz w:val="32"/>
          <w:szCs w:val="32"/>
          <w14:textFill>
            <w14:solidFill>
              <w14:schemeClr w14:val="tx1"/>
            </w14:solidFill>
          </w14:textFill>
        </w:rPr>
        <w:t>第三部分</w:t>
      </w:r>
      <w:r>
        <w:rPr>
          <w:rFonts w:hint="eastAsia"/>
          <w:color w:val="000000" w:themeColor="text1"/>
          <w:sz w:val="32"/>
          <w:szCs w:val="32"/>
          <w14:textFill>
            <w14:solidFill>
              <w14:schemeClr w14:val="tx1"/>
            </w14:solidFill>
          </w14:textFill>
        </w:rPr>
        <w:t xml:space="preserve">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年度部门决算情况说明</w:t>
      </w:r>
      <w:r>
        <w:rPr>
          <w:color w:val="000000" w:themeColor="text1"/>
          <w:sz w:val="32"/>
          <w:szCs w:val="32"/>
          <w14:textFill>
            <w14:solidFill>
              <w14:schemeClr w14:val="tx1"/>
            </w14:solidFill>
          </w14:textFill>
        </w:rPr>
        <w:tab/>
      </w:r>
      <w:r>
        <w:rPr>
          <w:color w:val="000000" w:themeColor="text1"/>
          <w:sz w:val="32"/>
          <w:szCs w:val="32"/>
          <w14:textFill>
            <w14:solidFill>
              <w14:schemeClr w14:val="tx1"/>
            </w14:solidFill>
          </w14:textFill>
        </w:rPr>
        <w:fldChar w:fldCharType="end"/>
      </w:r>
      <w:r>
        <w:rPr>
          <w:rFonts w:hint="eastAsia"/>
          <w:color w:val="000000" w:themeColor="text1"/>
          <w:sz w:val="32"/>
          <w:szCs w:val="32"/>
          <w14:textFill>
            <w14:solidFill>
              <w14:schemeClr w14:val="tx1"/>
            </w14:solidFill>
          </w14:textFill>
        </w:rPr>
        <w:t>3</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_Toc21737_WPSOffice_Level2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一、收入支出总体情况说明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3</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二、收入决算情况说明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4</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三、支出决算情况说明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4</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四、财政拨款收入支出决算</w:t>
      </w:r>
      <w:r>
        <w:rPr>
          <w:rFonts w:hint="eastAsia" w:ascii="仿宋" w:hAnsi="仿宋" w:eastAsia="仿宋" w:cs="仿宋"/>
          <w:bCs/>
          <w:color w:val="000000" w:themeColor="text1"/>
          <w:sz w:val="32"/>
          <w:szCs w:val="32"/>
          <w:lang w:val="en-US" w:eastAsia="zh-CN"/>
          <w14:textFill>
            <w14:solidFill>
              <w14:schemeClr w14:val="tx1"/>
            </w14:solidFill>
          </w14:textFill>
        </w:rPr>
        <w:t>总体</w:t>
      </w:r>
      <w:r>
        <w:rPr>
          <w:rFonts w:hint="eastAsia" w:ascii="仿宋" w:hAnsi="仿宋" w:eastAsia="仿宋" w:cs="仿宋"/>
          <w:bCs/>
          <w:color w:val="000000" w:themeColor="text1"/>
          <w:sz w:val="32"/>
          <w:szCs w:val="32"/>
          <w14:textFill>
            <w14:solidFill>
              <w14:schemeClr w14:val="tx1"/>
            </w14:solidFill>
          </w14:textFill>
        </w:rPr>
        <w:t>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4</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五、一般公共预算财政拨款支出决算情况说明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5</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六、一般公共预算财政拨款基本支出决算情况说明</w:t>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6</w:t>
      </w:r>
    </w:p>
    <w:p>
      <w:pPr>
        <w:pStyle w:val="16"/>
        <w:numPr>
          <w:ilvl w:val="0"/>
          <w:numId w:val="1"/>
        </w:numPr>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政府性基金预算财政拨款支出决算情况说明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7</w:t>
      </w:r>
    </w:p>
    <w:p>
      <w:pPr>
        <w:pStyle w:val="16"/>
        <w:numPr>
          <w:ilvl w:val="0"/>
          <w:numId w:val="1"/>
        </w:numPr>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国有资本经营预算财政拨款支出决算情况说明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8</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九、财政拨款“三公”经费支出决算情况说明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9</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fldChar w:fldCharType="begin"/>
      </w:r>
      <w:r>
        <w:rPr>
          <w:rFonts w:hint="eastAsia" w:ascii="仿宋" w:hAnsi="仿宋" w:eastAsia="仿宋" w:cs="仿宋"/>
          <w:color w:val="000000" w:themeColor="text1"/>
          <w:sz w:val="32"/>
          <w:szCs w:val="32"/>
          <w14:textFill>
            <w14:solidFill>
              <w14:schemeClr w14:val="tx1"/>
            </w14:solidFill>
          </w14:textFill>
        </w:rPr>
        <w:instrText xml:space="preserve"> HYPERLINK \l _Toc19535_WPSOffice_Level2 </w:instrText>
      </w:r>
      <w:r>
        <w:rPr>
          <w:rFonts w:hint="eastAsia" w:ascii="仿宋" w:hAnsi="仿宋" w:eastAsia="仿宋" w:cs="仿宋"/>
          <w:color w:val="000000" w:themeColor="text1"/>
          <w:sz w:val="32"/>
          <w:szCs w:val="32"/>
          <w14:textFill>
            <w14:solidFill>
              <w14:schemeClr w14:val="tx1"/>
            </w14:solidFill>
          </w14:textFill>
        </w:rPr>
        <w:fldChar w:fldCharType="separate"/>
      </w:r>
      <w:r>
        <w:rPr>
          <w:rFonts w:hint="eastAsia" w:ascii="仿宋" w:hAnsi="仿宋" w:eastAsia="仿宋" w:cs="仿宋"/>
          <w:bCs/>
          <w:color w:val="000000" w:themeColor="text1"/>
          <w:sz w:val="32"/>
          <w:szCs w:val="32"/>
          <w14:textFill>
            <w14:solidFill>
              <w14:schemeClr w14:val="tx1"/>
            </w14:solidFill>
          </w14:textFill>
        </w:rPr>
        <w:t>十、预算绩效情况说明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fldChar w:fldCharType="end"/>
      </w:r>
      <w:r>
        <w:rPr>
          <w:rFonts w:hint="eastAsia" w:ascii="仿宋" w:hAnsi="仿宋" w:eastAsia="仿宋" w:cs="仿宋"/>
          <w:color w:val="000000" w:themeColor="text1"/>
          <w:sz w:val="32"/>
          <w:szCs w:val="32"/>
          <w14:textFill>
            <w14:solidFill>
              <w14:schemeClr w14:val="tx1"/>
            </w14:solidFill>
          </w14:textFill>
        </w:rPr>
        <w:t>11</w:t>
      </w:r>
    </w:p>
    <w:p>
      <w:pPr>
        <w:pStyle w:val="16"/>
        <w:tabs>
          <w:tab w:val="right" w:leader="dot" w:pos="8306"/>
        </w:tabs>
        <w:spacing w:line="578" w:lineRule="exact"/>
        <w:ind w:leftChars="0"/>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十一、其他重要事项情况说明</w:t>
      </w:r>
      <w:r>
        <w:rPr>
          <w:rFonts w:hint="eastAsia" w:ascii="仿宋" w:hAnsi="仿宋" w:eastAsia="仿宋" w:cs="仿宋"/>
          <w:color w:val="000000" w:themeColor="text1"/>
          <w:sz w:val="32"/>
          <w:szCs w:val="32"/>
          <w14:textFill>
            <w14:solidFill>
              <w14:schemeClr w14:val="tx1"/>
            </w14:solidFill>
          </w14:textFill>
        </w:rPr>
        <w:tab/>
      </w:r>
      <w:r>
        <w:rPr>
          <w:rFonts w:hint="eastAsia" w:ascii="仿宋" w:hAnsi="仿宋" w:eastAsia="仿宋" w:cs="仿宋"/>
          <w:color w:val="000000" w:themeColor="text1"/>
          <w:sz w:val="32"/>
          <w:szCs w:val="32"/>
          <w14:textFill>
            <w14:solidFill>
              <w14:schemeClr w14:val="tx1"/>
            </w14:solidFill>
          </w14:textFill>
        </w:rPr>
        <w:t>13</w:t>
      </w:r>
    </w:p>
    <w:p>
      <w:pPr>
        <w:pStyle w:val="15"/>
        <w:tabs>
          <w:tab w:val="right" w:leader="dot" w:pos="8306"/>
        </w:tabs>
        <w:spacing w:line="578" w:lineRule="exact"/>
        <w:rPr>
          <w:rFonts w:hint="eastAsia" w:ascii="黑体" w:hAnsi="ˎ̥"/>
          <w:b/>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fldChar w:fldCharType="begin"/>
      </w:r>
      <w:r>
        <w:rPr>
          <w:color w:val="000000" w:themeColor="text1"/>
          <w:sz w:val="32"/>
          <w:szCs w:val="32"/>
          <w14:textFill>
            <w14:solidFill>
              <w14:schemeClr w14:val="tx1"/>
            </w14:solidFill>
          </w14:textFill>
        </w:rPr>
        <w:instrText xml:space="preserve"> HYPERLINK \l _Toc15425_WPSOffice_Level1 </w:instrText>
      </w:r>
      <w:r>
        <w:rPr>
          <w:color w:val="000000" w:themeColor="text1"/>
          <w:sz w:val="32"/>
          <w:szCs w:val="32"/>
          <w14:textFill>
            <w14:solidFill>
              <w14:schemeClr w14:val="tx1"/>
            </w14:solidFill>
          </w14:textFill>
        </w:rPr>
        <w:fldChar w:fldCharType="separate"/>
      </w:r>
      <w:r>
        <w:rPr>
          <w:rFonts w:hint="eastAsia" w:ascii="黑体" w:hAnsi="ˎ̥" w:eastAsia="黑体"/>
          <w:color w:val="000000" w:themeColor="text1"/>
          <w:sz w:val="32"/>
          <w:szCs w:val="32"/>
          <w14:textFill>
            <w14:solidFill>
              <w14:schemeClr w14:val="tx1"/>
            </w14:solidFill>
          </w14:textFill>
        </w:rPr>
        <w:t>第四部分  名词解释</w:t>
      </w:r>
      <w:r>
        <w:rPr>
          <w:color w:val="000000" w:themeColor="text1"/>
          <w:sz w:val="32"/>
          <w:szCs w:val="32"/>
          <w14:textFill>
            <w14:solidFill>
              <w14:schemeClr w14:val="tx1"/>
            </w14:solidFill>
          </w14:textFill>
        </w:rPr>
        <w:tab/>
      </w:r>
      <w:bookmarkStart w:id="1" w:name="_Toc15425_WPSOffice_Level1Page"/>
      <w:r>
        <w:rPr>
          <w:color w:val="000000" w:themeColor="text1"/>
          <w:sz w:val="32"/>
          <w:szCs w:val="32"/>
          <w14:textFill>
            <w14:solidFill>
              <w14:schemeClr w14:val="tx1"/>
            </w14:solidFill>
          </w14:textFill>
        </w:rPr>
        <w:t>1</w:t>
      </w:r>
      <w:bookmarkEnd w:id="1"/>
      <w:r>
        <w:rPr>
          <w:color w:val="000000" w:themeColor="text1"/>
          <w:sz w:val="32"/>
          <w:szCs w:val="32"/>
          <w14:textFill>
            <w14:solidFill>
              <w14:schemeClr w14:val="tx1"/>
            </w14:solidFill>
          </w14:textFill>
        </w:rPr>
        <w:fldChar w:fldCharType="end"/>
      </w:r>
      <w:bookmarkEnd w:id="0"/>
      <w:r>
        <w:rPr>
          <w:rFonts w:hint="eastAsia"/>
          <w:color w:val="000000" w:themeColor="text1"/>
          <w:sz w:val="32"/>
          <w:szCs w:val="32"/>
          <w14:textFill>
            <w14:solidFill>
              <w14:schemeClr w14:val="tx1"/>
            </w14:solidFill>
          </w14:textFill>
        </w:rPr>
        <w:t>5</w:t>
      </w:r>
    </w:p>
    <w:p>
      <w:pPr>
        <w:spacing w:line="578" w:lineRule="exact"/>
        <w:jc w:val="both"/>
        <w:rPr>
          <w:rFonts w:hint="eastAsia" w:ascii="黑体" w:hAnsi="ˎ̥" w:eastAsia="黑体"/>
          <w:color w:val="000000" w:themeColor="text1"/>
          <w:sz w:val="32"/>
          <w:szCs w:val="32"/>
          <w14:textFill>
            <w14:solidFill>
              <w14:schemeClr w14:val="tx1"/>
            </w14:solidFill>
          </w14:textFill>
        </w:rPr>
      </w:pPr>
      <w:bookmarkStart w:id="2" w:name="_Toc1704_WPSOffice_Level1"/>
      <w:bookmarkStart w:id="3" w:name="_Toc10720_WPSOffice_Level1"/>
      <w:bookmarkStart w:id="4" w:name="_Toc32433_WPSOffice_Level1"/>
      <w:bookmarkStart w:id="5" w:name="_Toc22941_WPSOffice_Level1"/>
      <w:bookmarkStart w:id="6" w:name="_Toc23465_WPSOffice_Level1"/>
      <w:bookmarkStart w:id="7" w:name="_Toc10049_WPSOffice_Level1"/>
      <w:bookmarkStart w:id="8" w:name="_Toc24238_WPSOffice_Level2"/>
      <w:bookmarkStart w:id="9" w:name="_Toc32622_WPSOffice_Level2"/>
      <w:bookmarkStart w:id="10" w:name="_Toc14159_WPSOffice_Level2"/>
      <w:bookmarkStart w:id="11" w:name="_Toc20274_WPSOffice_Level2"/>
      <w:bookmarkStart w:id="12" w:name="_Toc20205_WPSOffice_Level2"/>
      <w:bookmarkStart w:id="13" w:name="_Toc26580_WPSOffice_Level2"/>
    </w:p>
    <w:p>
      <w:pPr>
        <w:spacing w:line="578" w:lineRule="exact"/>
        <w:jc w:val="center"/>
        <w:rPr>
          <w:rFonts w:hint="eastAsia" w:ascii="黑体" w:hAnsi="ˎ̥" w:eastAsia="黑体"/>
          <w:color w:val="000000" w:themeColor="text1"/>
          <w:sz w:val="32"/>
          <w:szCs w:val="32"/>
          <w14:textFill>
            <w14:solidFill>
              <w14:schemeClr w14:val="tx1"/>
            </w14:solidFill>
          </w14:textFill>
        </w:rPr>
      </w:pPr>
    </w:p>
    <w:p>
      <w:pPr>
        <w:spacing w:line="578" w:lineRule="exact"/>
        <w:jc w:val="center"/>
        <w:rPr>
          <w:rFonts w:hint="eastAsia" w:ascii="黑体" w:hAnsi="ˎ̥" w:eastAsia="黑体"/>
          <w:color w:val="000000" w:themeColor="text1"/>
          <w:sz w:val="32"/>
          <w:szCs w:val="32"/>
          <w14:textFill>
            <w14:solidFill>
              <w14:schemeClr w14:val="tx1"/>
            </w14:solidFill>
          </w14:textFill>
        </w:rPr>
      </w:pPr>
      <w:r>
        <w:rPr>
          <w:rFonts w:hint="eastAsia" w:ascii="黑体" w:hAnsi="ˎ̥" w:eastAsia="黑体"/>
          <w:color w:val="000000" w:themeColor="text1"/>
          <w:sz w:val="32"/>
          <w:szCs w:val="32"/>
          <w14:textFill>
            <w14:solidFill>
              <w14:schemeClr w14:val="tx1"/>
            </w14:solidFill>
          </w14:textFill>
        </w:rPr>
        <w:t xml:space="preserve">第一部分  </w:t>
      </w:r>
      <w:bookmarkEnd w:id="2"/>
      <w:bookmarkEnd w:id="3"/>
      <w:bookmarkEnd w:id="4"/>
      <w:bookmarkEnd w:id="5"/>
      <w:bookmarkEnd w:id="6"/>
      <w:bookmarkEnd w:id="7"/>
      <w:r>
        <w:rPr>
          <w:rFonts w:hint="eastAsia" w:ascii="黑体" w:hAnsi="ˎ̥" w:eastAsia="黑体"/>
          <w:color w:val="000000" w:themeColor="text1"/>
          <w:sz w:val="32"/>
          <w:szCs w:val="32"/>
          <w14:textFill>
            <w14:solidFill>
              <w14:schemeClr w14:val="tx1"/>
            </w14:solidFill>
          </w14:textFill>
        </w:rPr>
        <w:t>基本情况</w:t>
      </w:r>
    </w:p>
    <w:p>
      <w:pPr>
        <w:spacing w:line="578" w:lineRule="exact"/>
        <w:ind w:firstLine="640" w:firstLineChars="200"/>
        <w:rPr>
          <w:rFonts w:hint="eastAsia" w:ascii="楷体" w:hAnsi="楷体" w:eastAsia="楷体" w:cs="楷体"/>
          <w:color w:val="000000" w:themeColor="text1"/>
          <w:sz w:val="32"/>
          <w:szCs w:val="32"/>
          <w14:textFill>
            <w14:solidFill>
              <w14:schemeClr w14:val="tx1"/>
            </w14:solidFill>
          </w14:textFill>
        </w:rPr>
      </w:pPr>
    </w:p>
    <w:p>
      <w:pPr>
        <w:numPr>
          <w:ilvl w:val="0"/>
          <w:numId w:val="2"/>
        </w:numPr>
        <w:spacing w:line="578" w:lineRule="exact"/>
        <w:ind w:firstLine="640" w:firstLineChars="20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部门</w:t>
      </w:r>
      <w:bookmarkEnd w:id="8"/>
      <w:r>
        <w:rPr>
          <w:rFonts w:hint="eastAsia" w:ascii="黑体" w:hAnsi="黑体" w:eastAsia="黑体" w:cs="黑体"/>
          <w:color w:val="000000" w:themeColor="text1"/>
          <w:sz w:val="32"/>
          <w:szCs w:val="32"/>
          <w14:textFill>
            <w14:solidFill>
              <w14:schemeClr w14:val="tx1"/>
            </w14:solidFill>
          </w14:textFill>
        </w:rPr>
        <w:t>（单位）职责</w:t>
      </w:r>
      <w:bookmarkEnd w:id="9"/>
      <w:bookmarkEnd w:id="10"/>
      <w:bookmarkEnd w:id="11"/>
      <w:bookmarkEnd w:id="12"/>
      <w:bookmarkEnd w:id="13"/>
    </w:p>
    <w:p>
      <w:pPr>
        <w:spacing w:line="560" w:lineRule="exact"/>
        <w:ind w:firstLine="740"/>
        <w:jc w:val="both"/>
        <w:rPr>
          <w:rFonts w:hint="eastAsia" w:ascii="仿宋" w:hAnsi="仿宋" w:eastAsia="仿宋" w:cs="仿宋"/>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Cs/>
          <w:color w:val="000000" w:themeColor="text1"/>
          <w:kern w:val="0"/>
          <w:sz w:val="32"/>
          <w:szCs w:val="32"/>
          <w:lang w:val="en-US" w:eastAsia="zh-CN" w:bidi="ar-SA"/>
          <w14:textFill>
            <w14:solidFill>
              <w14:schemeClr w14:val="tx1"/>
            </w14:solidFill>
          </w14:textFill>
        </w:rPr>
        <w:t>（一）法制委员会。负责及参与立法工作。若有立法任务，参与本县相关立法调研，论证，为立法提供合法建议，确保立法符合本县实际。开展规范性文件备案审查工作，审查本县规范性文件的合法性，防止出现与上位法抵触的情况，保障法制统一。负责基层立法联系点的建设、指导、管理等工作。负责法律法规制度方面的法律监督和工作监督。负责区人大常委会立法咨询专家和顾问的联系、服务等工作。负责本委员会在立法、监督等方面的具体工作和党务、日常事务等。</w:t>
      </w:r>
    </w:p>
    <w:p>
      <w:pPr>
        <w:spacing w:line="460" w:lineRule="exact"/>
        <w:ind w:firstLine="820"/>
        <w:jc w:val="both"/>
        <w:rPr>
          <w:rFonts w:hint="eastAsia" w:ascii="仿宋" w:hAnsi="仿宋" w:eastAsia="仿宋" w:cs="仿宋"/>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Cs/>
          <w:color w:val="000000" w:themeColor="text1"/>
          <w:kern w:val="0"/>
          <w:sz w:val="32"/>
          <w:szCs w:val="32"/>
          <w:lang w:val="en-US" w:eastAsia="zh-CN" w:bidi="ar-SA"/>
          <w14:textFill>
            <w14:solidFill>
              <w14:schemeClr w14:val="tx1"/>
            </w14:solidFill>
          </w14:textFill>
        </w:rPr>
        <w:t>（二）财政经济委员会。负责对国民经济和社会发展计划（草案）报告、财政预决算（草案）报告以及国民经济和社会发展计划、财政预算调整方案进行初审，并监督执行情况。协助色尼区人民代表大会及其常务委员会对有关财政经济方面的法律法规实施情况进行检查。根据工作安排，开展财政经济方面的调查研究、提出意见，建议和议案。</w:t>
      </w:r>
    </w:p>
    <w:p>
      <w:pPr>
        <w:spacing w:line="460" w:lineRule="exact"/>
        <w:ind w:firstLine="820"/>
        <w:jc w:val="both"/>
        <w:rPr>
          <w:rFonts w:hint="eastAsia" w:ascii="仿宋" w:hAnsi="仿宋" w:eastAsia="仿宋" w:cs="仿宋"/>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Cs/>
          <w:color w:val="000000" w:themeColor="text1"/>
          <w:kern w:val="0"/>
          <w:sz w:val="32"/>
          <w:szCs w:val="32"/>
          <w:lang w:val="en-US" w:eastAsia="zh-CN" w:bidi="ar-SA"/>
          <w14:textFill>
            <w14:solidFill>
              <w14:schemeClr w14:val="tx1"/>
            </w14:solidFill>
          </w14:textFill>
        </w:rPr>
        <w:t>（三）教育科学文化卫生委员会。负责拟订和审议同本委员会有关的地方性法规草案和决议、决定草案。负责对区人民政府、区人民法院、区人民检察院在教育、科学、文化、卫生事业方面执行宪法、法律、法规和区人大常委会决议的情况，以及对教育、科学、文化、卫生工作中的重大决策和部署进行监督检查，提出报告。负责组织、督促办理同本委员会有关的议案，</w:t>
      </w:r>
    </w:p>
    <w:p>
      <w:pPr>
        <w:spacing w:line="460" w:lineRule="exact"/>
        <w:ind w:firstLine="820"/>
        <w:jc w:val="both"/>
        <w:rPr>
          <w:rFonts w:hint="eastAsia" w:ascii="仿宋" w:hAnsi="仿宋" w:eastAsia="仿宋" w:cs="仿宋"/>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Cs/>
          <w:color w:val="000000" w:themeColor="text1"/>
          <w:kern w:val="0"/>
          <w:sz w:val="32"/>
          <w:szCs w:val="32"/>
          <w:lang w:val="en-US" w:eastAsia="zh-CN" w:bidi="ar-SA"/>
          <w14:textFill>
            <w14:solidFill>
              <w14:schemeClr w14:val="tx1"/>
            </w14:solidFill>
          </w14:textFill>
        </w:rPr>
        <w:t xml:space="preserve"> 色尼区人大常委会办公室主要职责：</w:t>
      </w:r>
    </w:p>
    <w:p>
      <w:pPr>
        <w:spacing w:line="460" w:lineRule="exact"/>
        <w:ind w:firstLine="820"/>
        <w:jc w:val="both"/>
        <w:rPr>
          <w:rFonts w:hint="eastAsia" w:ascii="仿宋" w:hAnsi="仿宋" w:eastAsia="仿宋" w:cs="仿宋"/>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Cs/>
          <w:color w:val="000000" w:themeColor="text1"/>
          <w:kern w:val="0"/>
          <w:sz w:val="32"/>
          <w:szCs w:val="32"/>
          <w:lang w:val="en-US" w:eastAsia="zh-CN" w:bidi="ar-SA"/>
          <w14:textFill>
            <w14:solidFill>
              <w14:schemeClr w14:val="tx1"/>
            </w14:solidFill>
          </w14:textFill>
        </w:rPr>
        <w:t>（一）负责区人民代表大会会议、常委会会议、主任会议的服务保障工作。根据主任会议决定草拟有关法规草案。</w:t>
      </w:r>
    </w:p>
    <w:p>
      <w:pPr>
        <w:spacing w:line="460" w:lineRule="exact"/>
        <w:ind w:left="958" w:leftChars="456" w:firstLine="284" w:firstLineChars="89"/>
        <w:jc w:val="both"/>
        <w:rPr>
          <w:rFonts w:hint="eastAsia" w:ascii="仿宋" w:hAnsi="仿宋" w:eastAsia="仿宋" w:cs="仿宋"/>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Cs/>
          <w:color w:val="000000" w:themeColor="text1"/>
          <w:kern w:val="0"/>
          <w:sz w:val="32"/>
          <w:szCs w:val="32"/>
          <w:lang w:val="en-US" w:eastAsia="zh-CN" w:bidi="ar-SA"/>
          <w14:textFill>
            <w14:solidFill>
              <w14:schemeClr w14:val="tx1"/>
            </w14:solidFill>
          </w14:textFill>
        </w:rPr>
        <w:t>提出初审意见。负责承办人大代表的有关建议、批评和意见。（二）承办权力机关交办的监督工作辅助事项。</w:t>
      </w:r>
    </w:p>
    <w:p>
      <w:pPr>
        <w:spacing w:line="240" w:lineRule="auto"/>
        <w:ind w:firstLine="0"/>
        <w:jc w:val="both"/>
        <w:rPr>
          <w:rFonts w:hint="eastAsia" w:ascii="仿宋" w:hAnsi="仿宋" w:eastAsia="仿宋" w:cs="仿宋"/>
          <w:bCs/>
          <w:color w:val="000000" w:themeColor="text1"/>
          <w:kern w:val="0"/>
          <w:sz w:val="32"/>
          <w:szCs w:val="32"/>
          <w:lang w:val="en-US" w:eastAsia="zh-CN" w:bidi="ar-SA"/>
          <w14:textFill>
            <w14:solidFill>
              <w14:schemeClr w14:val="tx1"/>
            </w14:solidFill>
          </w14:textFill>
        </w:rPr>
        <w:sectPr>
          <w:footerReference r:id="rId3" w:type="default"/>
          <w:pgSz w:w="11100" w:h="16840"/>
          <w:pgMar w:top="1320" w:right="800" w:bottom="1320" w:left="800" w:header="0" w:footer="1320" w:gutter="0"/>
          <w:cols w:space="720" w:num="1"/>
          <w:docGrid w:type="lines" w:linePitch="1" w:charSpace="0"/>
        </w:sectPr>
      </w:pPr>
    </w:p>
    <w:p>
      <w:pPr>
        <w:spacing w:line="460" w:lineRule="exact"/>
        <w:ind w:firstLine="640" w:firstLineChars="200"/>
        <w:jc w:val="both"/>
        <w:rPr>
          <w:rFonts w:hint="eastAsia" w:ascii="仿宋" w:hAnsi="仿宋" w:eastAsia="仿宋" w:cs="仿宋"/>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Cs/>
          <w:color w:val="000000" w:themeColor="text1"/>
          <w:kern w:val="0"/>
          <w:sz w:val="32"/>
          <w:szCs w:val="32"/>
          <w:lang w:val="en-US" w:eastAsia="zh-CN" w:bidi="ar-SA"/>
          <w14:textFill>
            <w14:solidFill>
              <w14:schemeClr w14:val="tx1"/>
            </w14:solidFill>
          </w14:textFill>
        </w:rPr>
        <w:t>（三）负责办理区人民代表大会选举工作及其常务委员会人事任免事项。</w:t>
      </w:r>
    </w:p>
    <w:p>
      <w:pPr>
        <w:spacing w:line="460" w:lineRule="exact"/>
        <w:ind w:firstLine="820"/>
        <w:jc w:val="both"/>
        <w:rPr>
          <w:rFonts w:hint="eastAsia" w:ascii="仿宋" w:hAnsi="仿宋" w:eastAsia="仿宋" w:cs="仿宋"/>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Cs/>
          <w:color w:val="000000" w:themeColor="text1"/>
          <w:kern w:val="0"/>
          <w:sz w:val="32"/>
          <w:szCs w:val="32"/>
          <w:lang w:val="en-US" w:eastAsia="zh-CN" w:bidi="ar-SA"/>
          <w14:textFill>
            <w14:solidFill>
              <w14:schemeClr w14:val="tx1"/>
            </w14:solidFill>
          </w14:textFill>
        </w:rPr>
        <w:t>（四）组织办理区人大代表提出的建议、批评和意见，办理区人大代表和人民群众来信、来访工作。</w:t>
      </w:r>
    </w:p>
    <w:p>
      <w:pPr>
        <w:spacing w:line="460" w:lineRule="exact"/>
        <w:ind w:firstLine="960" w:firstLineChars="300"/>
        <w:jc w:val="both"/>
        <w:rPr>
          <w:rFonts w:hint="eastAsia" w:ascii="黑体" w:hAnsi="黑体" w:eastAsia="黑体" w:cs="黑体"/>
          <w:color w:val="000000" w:themeColor="text1"/>
          <w:sz w:val="32"/>
          <w:szCs w:val="32"/>
          <w14:textFill>
            <w14:solidFill>
              <w14:schemeClr w14:val="tx1"/>
            </w14:solidFill>
          </w14:textFill>
        </w:rPr>
      </w:pPr>
      <w:r>
        <w:rPr>
          <w:rFonts w:hint="eastAsia" w:ascii="仿宋" w:hAnsi="仿宋" w:eastAsia="仿宋" w:cs="仿宋"/>
          <w:bCs/>
          <w:color w:val="000000" w:themeColor="text1"/>
          <w:kern w:val="0"/>
          <w:sz w:val="32"/>
          <w:szCs w:val="32"/>
          <w:lang w:val="en-US" w:eastAsia="zh-CN" w:bidi="ar-SA"/>
          <w14:textFill>
            <w14:solidFill>
              <w14:schemeClr w14:val="tx1"/>
            </w14:solidFill>
          </w14:textFill>
        </w:rPr>
        <w:t>（五）加强代表工作能力建设，引导代表致力于“四个创建”“四个走在前列”依法履职。负责区人大代表名额分配、资格审查、联络服务有关工作。负责区人民代表大会和区人大常委会依法任免国家机关工作人员协调工作。负责代表集中视察、专题调研、联系群众有关制度制定和指导协调工作。承担我区市人大代表和区人大代表选举、辞职、罢免等工作，指导乡镇（街道）人民代表大会换届选举工作。负责区人大代表议案，建议、批评和意见工作的统筹管理。负责区人大代表履职的监督管理。负责区人大代表学习培训的统筹规划和管理。指导乡镇（街道）人大代表工作。负责受理人民群众对人大代表执行代表职务方面来信来访。负责起草代表方面的规范性文件。负责对选举、任免和代表工作方面相关法律执行情况进行执法检查、调查研究，提出意见建议。承担区人大常委会代表资格审查委员会的具体工作。</w:t>
      </w:r>
    </w:p>
    <w:p>
      <w:pPr>
        <w:spacing w:line="578" w:lineRule="exact"/>
        <w:ind w:firstLine="640" w:firstLineChars="200"/>
        <w:rPr>
          <w:rFonts w:hint="eastAsia" w:ascii="黑体" w:hAnsi="黑体" w:eastAsia="黑体" w:cs="黑体"/>
          <w:color w:val="000000" w:themeColor="text1"/>
          <w:sz w:val="32"/>
          <w:szCs w:val="32"/>
          <w14:textFill>
            <w14:solidFill>
              <w14:schemeClr w14:val="tx1"/>
            </w14:solidFill>
          </w14:textFill>
        </w:rPr>
      </w:pPr>
      <w:bookmarkStart w:id="14" w:name="_Toc24474_WPSOffice_Level2"/>
      <w:bookmarkStart w:id="15" w:name="_Toc24059_WPSOffice_Level2"/>
      <w:bookmarkStart w:id="16" w:name="_Toc6572_WPSOffice_Level2"/>
      <w:bookmarkStart w:id="17" w:name="_Toc17796_WPSOffice_Level2"/>
      <w:bookmarkStart w:id="18" w:name="_Toc4833_WPSOffice_Level2"/>
      <w:r>
        <w:rPr>
          <w:rFonts w:hint="eastAsia" w:ascii="黑体" w:hAnsi="黑体" w:eastAsia="黑体" w:cs="黑体"/>
          <w:color w:val="000000" w:themeColor="text1"/>
          <w:sz w:val="32"/>
          <w:szCs w:val="32"/>
          <w14:textFill>
            <w14:solidFill>
              <w14:schemeClr w14:val="tx1"/>
            </w14:solidFill>
          </w14:textFill>
        </w:rPr>
        <w:t>二、机构设置</w:t>
      </w:r>
      <w:bookmarkEnd w:id="14"/>
      <w:bookmarkEnd w:id="15"/>
      <w:bookmarkEnd w:id="16"/>
      <w:bookmarkEnd w:id="17"/>
      <w:bookmarkEnd w:id="18"/>
    </w:p>
    <w:p>
      <w:pPr>
        <w:spacing w:line="460" w:lineRule="exact"/>
        <w:ind w:firstLine="820"/>
        <w:jc w:val="both"/>
        <w:rPr>
          <w:rFonts w:hint="eastAsia" w:ascii="仿宋" w:hAnsi="仿宋" w:eastAsia="仿宋" w:cs="仿宋"/>
          <w:bCs/>
          <w:color w:val="000000" w:themeColor="text1"/>
          <w:kern w:val="0"/>
          <w:sz w:val="32"/>
          <w:szCs w:val="32"/>
          <w:lang w:val="en-US" w:eastAsia="zh-CN" w:bidi="ar-SA"/>
          <w14:textFill>
            <w14:solidFill>
              <w14:schemeClr w14:val="tx1"/>
            </w14:solidFill>
          </w14:textFill>
        </w:rPr>
      </w:pPr>
      <w:bookmarkStart w:id="19" w:name="_Toc25738_WPSOffice_Level2"/>
      <w:bookmarkStart w:id="20" w:name="_Toc24421_WPSOffice_Level2"/>
      <w:r>
        <w:rPr>
          <w:rFonts w:hint="eastAsia" w:ascii="仿宋" w:hAnsi="仿宋" w:eastAsia="仿宋" w:cs="仿宋"/>
          <w:bCs/>
          <w:color w:val="000000" w:themeColor="text1"/>
          <w:kern w:val="0"/>
          <w:sz w:val="32"/>
          <w:szCs w:val="32"/>
          <w:lang w:val="en-US" w:eastAsia="zh-CN" w:bidi="ar-SA"/>
          <w14:textFill>
            <w14:solidFill>
              <w14:schemeClr w14:val="tx1"/>
            </w14:solidFill>
          </w14:textFill>
        </w:rPr>
        <w:t>色尼区人大机关行政编制9名。区人大常委会办公室科级领导职数3名（主任1名、副主任2名）。专门委员会各设主任委员1名、副主任委员1名。</w:t>
      </w:r>
    </w:p>
    <w:p>
      <w:pPr>
        <w:spacing w:line="520" w:lineRule="exact"/>
        <w:ind w:firstLine="740"/>
        <w:jc w:val="both"/>
        <w:rPr>
          <w:rFonts w:hint="eastAsia" w:ascii="仿宋" w:hAnsi="仿宋" w:eastAsia="仿宋" w:cs="仿宋"/>
          <w:bCs/>
          <w:color w:val="000000" w:themeColor="text1"/>
          <w:kern w:val="0"/>
          <w:sz w:val="32"/>
          <w:szCs w:val="32"/>
          <w:lang w:val="en-US" w:eastAsia="zh-CN" w:bidi="ar-SA"/>
          <w14:textFill>
            <w14:solidFill>
              <w14:schemeClr w14:val="tx1"/>
            </w14:solidFill>
          </w14:textFill>
        </w:rPr>
      </w:pPr>
      <w:r>
        <w:rPr>
          <w:rFonts w:hint="eastAsia" w:ascii="仿宋" w:hAnsi="仿宋" w:eastAsia="仿宋" w:cs="仿宋"/>
          <w:bCs/>
          <w:color w:val="000000" w:themeColor="text1"/>
          <w:kern w:val="0"/>
          <w:sz w:val="32"/>
          <w:szCs w:val="32"/>
          <w:lang w:val="en-US" w:eastAsia="zh-CN" w:bidi="ar-SA"/>
          <w14:textFill>
            <w14:solidFill>
              <w14:schemeClr w14:val="tx1"/>
            </w14:solidFill>
          </w14:textFill>
        </w:rPr>
        <w:t>色尼区人民代表大会（以下称区人大）设3个专门委员会，即：法制委员会、财政经济委员会、教育科学文化卫生委员会。区人大常务委员会（以下称区人大常委会）设1个科级办事机构，即：办公室。</w:t>
      </w:r>
    </w:p>
    <w:p>
      <w:pPr>
        <w:spacing w:line="578" w:lineRule="exact"/>
        <w:ind w:firstLine="640" w:firstLineChars="200"/>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人大办</w:t>
      </w:r>
      <w:r>
        <w:rPr>
          <w:rFonts w:hint="eastAsia" w:ascii="方正楷体_GBK" w:hAnsi="方正楷体_GBK" w:eastAsia="方正楷体_GBK" w:cs="方正楷体_GBK"/>
          <w:color w:val="000000" w:themeColor="text1"/>
          <w:sz w:val="32"/>
          <w:szCs w:val="32"/>
          <w14:textFill>
            <w14:solidFill>
              <w14:schemeClr w14:val="tx1"/>
            </w14:solidFill>
          </w14:textFill>
        </w:rPr>
        <w:t>部门本级</w:t>
      </w:r>
      <w:bookmarkEnd w:id="19"/>
      <w:bookmarkEnd w:id="20"/>
    </w:p>
    <w:p>
      <w:pPr>
        <w:spacing w:line="578" w:lineRule="exact"/>
        <w:ind w:firstLine="640" w:firstLineChars="200"/>
        <w:rPr>
          <w:rFonts w:hint="eastAsia" w:ascii="方正楷体_GBK" w:hAnsi="方正楷体_GBK" w:eastAsia="方正楷体_GBK" w:cs="方正楷体_GBK"/>
          <w:color w:val="000000" w:themeColor="text1"/>
          <w:sz w:val="32"/>
          <w:szCs w:val="32"/>
          <w14:textFill>
            <w14:solidFill>
              <w14:schemeClr w14:val="tx1"/>
            </w14:solidFill>
          </w14:textFill>
        </w:rPr>
      </w:pPr>
      <w:bookmarkStart w:id="21" w:name="_Toc4442_WPSOffice_Level2"/>
      <w:bookmarkStart w:id="22" w:name="_Toc19721_WPSOffice_Level2"/>
      <w:r>
        <w:rPr>
          <w:rFonts w:hint="eastAsia" w:ascii="方正楷体_GBK" w:hAnsi="方正楷体_GBK" w:eastAsia="方正楷体_GBK" w:cs="方正楷体_GBK"/>
          <w:color w:val="000000" w:themeColor="text1"/>
          <w:sz w:val="32"/>
          <w:szCs w:val="32"/>
          <w14:textFill>
            <w14:solidFill>
              <w14:schemeClr w14:val="tx1"/>
            </w14:solidFill>
          </w14:textFill>
        </w:rPr>
        <w:t>（二）人大办下属单位</w:t>
      </w:r>
      <w:bookmarkEnd w:id="21"/>
      <w:bookmarkEnd w:id="22"/>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（注：如果是基层预算单位，没有下属单位的，可只说明单位内设机构即可。）</w:t>
      </w:r>
    </w:p>
    <w:p>
      <w:pPr>
        <w:spacing w:line="578" w:lineRule="exact"/>
        <w:jc w:val="center"/>
        <w:rPr>
          <w:rFonts w:hint="eastAsia" w:ascii="黑体" w:hAnsi="ˎ̥" w:eastAsia="黑体"/>
          <w:color w:val="000000" w:themeColor="text1"/>
          <w:sz w:val="32"/>
          <w:szCs w:val="32"/>
          <w14:textFill>
            <w14:solidFill>
              <w14:schemeClr w14:val="tx1"/>
            </w14:solidFill>
          </w14:textFill>
        </w:rPr>
      </w:pPr>
      <w:bookmarkStart w:id="23" w:name="_Toc28253_WPSOffice_Level1"/>
      <w:bookmarkStart w:id="24" w:name="_Toc6234_WPSOffice_Level1"/>
      <w:bookmarkStart w:id="25" w:name="_Toc15521_WPSOffice_Level1"/>
      <w:bookmarkStart w:id="26" w:name="_Toc30690_WPSOffice_Level1"/>
      <w:bookmarkStart w:id="27" w:name="_Toc30451_WPSOffice_Level1"/>
      <w:bookmarkStart w:id="28" w:name="_Toc8164_WPSOffice_Level1"/>
      <w:bookmarkStart w:id="29" w:name="_Toc6211_WPSOffice_Level2"/>
      <w:bookmarkStart w:id="30" w:name="_Toc32695_WPSOffice_Level2"/>
      <w:bookmarkStart w:id="31" w:name="_Toc8867_WPSOffice_Level2"/>
      <w:bookmarkStart w:id="32" w:name="_Toc32472_WPSOffice_Level2"/>
      <w:bookmarkStart w:id="33" w:name="_Toc4029_WPSOffice_Level2"/>
      <w:bookmarkStart w:id="34" w:name="_Toc11518_WPSOffice_Level2"/>
    </w:p>
    <w:p>
      <w:pPr>
        <w:spacing w:line="578" w:lineRule="exact"/>
        <w:jc w:val="center"/>
        <w:rPr>
          <w:rFonts w:hint="eastAsia" w:ascii="黑体" w:hAnsi="ˎ̥" w:eastAsia="黑体"/>
          <w:color w:val="000000" w:themeColor="text1"/>
          <w:sz w:val="32"/>
          <w:szCs w:val="32"/>
          <w14:textFill>
            <w14:solidFill>
              <w14:schemeClr w14:val="tx1"/>
            </w14:solidFill>
          </w14:textFill>
        </w:rPr>
      </w:pPr>
      <w:r>
        <w:rPr>
          <w:rFonts w:hint="eastAsia" w:ascii="黑体" w:hAnsi="ˎ̥" w:eastAsia="黑体"/>
          <w:color w:val="000000" w:themeColor="text1"/>
          <w:sz w:val="32"/>
          <w:szCs w:val="32"/>
          <w14:textFill>
            <w14:solidFill>
              <w14:schemeClr w14:val="tx1"/>
            </w14:solidFill>
          </w14:textFill>
        </w:rPr>
        <w:t xml:space="preserve">第二部分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年度部门决算公开报表</w:t>
      </w:r>
      <w:bookmarkEnd w:id="23"/>
      <w:bookmarkEnd w:id="24"/>
      <w:bookmarkEnd w:id="25"/>
      <w:bookmarkEnd w:id="26"/>
      <w:bookmarkEnd w:id="27"/>
      <w:bookmarkEnd w:id="28"/>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一、收入支出决算公开表</w:t>
      </w:r>
      <w:bookmarkEnd w:id="29"/>
      <w:bookmarkEnd w:id="30"/>
      <w:bookmarkEnd w:id="31"/>
      <w:bookmarkEnd w:id="32"/>
      <w:bookmarkEnd w:id="33"/>
      <w:bookmarkEnd w:id="34"/>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bookmarkStart w:id="35" w:name="_Toc30334_WPSOffice_Level2"/>
      <w:bookmarkStart w:id="36" w:name="_Toc14349_WPSOffice_Level2"/>
      <w:bookmarkStart w:id="37" w:name="_Toc23139_WPSOffice_Level2"/>
      <w:bookmarkStart w:id="38" w:name="_Toc25608_WPSOffice_Level2"/>
      <w:bookmarkStart w:id="39" w:name="_Toc26621_WPSOffice_Level2"/>
      <w:bookmarkStart w:id="40" w:name="_Toc28622_WPSOffice_Level2"/>
      <w:r>
        <w:rPr>
          <w:rFonts w:hint="eastAsia" w:ascii="黑体" w:hAnsi="黑体" w:eastAsia="黑体" w:cs="黑体"/>
          <w:color w:val="000000" w:themeColor="text1"/>
          <w:sz w:val="32"/>
          <w:szCs w:val="32"/>
          <w14:textFill>
            <w14:solidFill>
              <w14:schemeClr w14:val="tx1"/>
            </w14:solidFill>
          </w14:textFill>
        </w:rPr>
        <w:t>二、收入决算公开表</w:t>
      </w:r>
      <w:bookmarkEnd w:id="35"/>
      <w:bookmarkEnd w:id="36"/>
      <w:bookmarkEnd w:id="37"/>
      <w:bookmarkEnd w:id="38"/>
      <w:bookmarkEnd w:id="39"/>
      <w:bookmarkEnd w:id="40"/>
      <w:bookmarkStart w:id="41" w:name="_Toc13854_WPSOffice_Level2"/>
      <w:bookmarkStart w:id="42" w:name="_Toc5489_WPSOffice_Level2"/>
      <w:bookmarkStart w:id="43" w:name="_Toc14658_WPSOffice_Level2"/>
      <w:bookmarkStart w:id="44" w:name="_Toc3262_WPSOffice_Level2"/>
      <w:bookmarkStart w:id="45" w:name="_Toc17858_WPSOffice_Level2"/>
      <w:bookmarkStart w:id="46" w:name="_Toc17626_WPSOffice_Level2"/>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三、支出决算公开表</w:t>
      </w:r>
      <w:bookmarkEnd w:id="41"/>
      <w:bookmarkEnd w:id="42"/>
      <w:bookmarkEnd w:id="43"/>
      <w:bookmarkEnd w:id="44"/>
      <w:bookmarkEnd w:id="45"/>
      <w:bookmarkEnd w:id="46"/>
      <w:bookmarkStart w:id="47" w:name="_Toc13701_WPSOffice_Level2"/>
      <w:bookmarkStart w:id="48" w:name="_Toc21415_WPSOffice_Level2"/>
      <w:bookmarkStart w:id="49" w:name="_Toc23591_WPSOffice_Level2"/>
      <w:bookmarkStart w:id="50" w:name="_Toc23493_WPSOffice_Level2"/>
      <w:bookmarkStart w:id="51" w:name="_Toc7988_WPSOffice_Level2"/>
      <w:bookmarkStart w:id="52" w:name="_Toc4265_WPSOffice_Level2"/>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四、财政拨款收入支出决算公开表</w:t>
      </w:r>
      <w:bookmarkEnd w:id="47"/>
      <w:bookmarkEnd w:id="48"/>
      <w:bookmarkEnd w:id="49"/>
      <w:bookmarkEnd w:id="50"/>
      <w:bookmarkEnd w:id="51"/>
      <w:bookmarkEnd w:id="52"/>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bookmarkStart w:id="53" w:name="_Toc23829_WPSOffice_Level2"/>
      <w:bookmarkStart w:id="54" w:name="_Toc25166_WPSOffice_Level2"/>
      <w:bookmarkStart w:id="55" w:name="_Toc22783_WPSOffice_Level2"/>
      <w:bookmarkStart w:id="56" w:name="_Toc7879_WPSOffice_Level2"/>
      <w:bookmarkStart w:id="57" w:name="_Toc13516_WPSOffice_Level2"/>
      <w:bookmarkStart w:id="58" w:name="_Toc2158_WPSOffice_Level2"/>
      <w:r>
        <w:rPr>
          <w:rFonts w:hint="eastAsia" w:ascii="黑体" w:hAnsi="黑体" w:eastAsia="黑体" w:cs="黑体"/>
          <w:color w:val="000000" w:themeColor="text1"/>
          <w:sz w:val="32"/>
          <w:szCs w:val="32"/>
          <w14:textFill>
            <w14:solidFill>
              <w14:schemeClr w14:val="tx1"/>
            </w14:solidFill>
          </w14:textFill>
        </w:rPr>
        <w:t>五、一般公共预算财政拨款收入支出决算</w:t>
      </w:r>
      <w:bookmarkEnd w:id="53"/>
      <w:bookmarkEnd w:id="54"/>
      <w:bookmarkEnd w:id="55"/>
      <w:bookmarkEnd w:id="56"/>
      <w:r>
        <w:rPr>
          <w:rFonts w:hint="eastAsia" w:ascii="黑体" w:hAnsi="黑体" w:eastAsia="黑体" w:cs="黑体"/>
          <w:color w:val="000000" w:themeColor="text1"/>
          <w:sz w:val="32"/>
          <w:szCs w:val="32"/>
          <w14:textFill>
            <w14:solidFill>
              <w14:schemeClr w14:val="tx1"/>
            </w14:solidFill>
          </w14:textFill>
        </w:rPr>
        <w:t>公开表</w:t>
      </w:r>
      <w:bookmarkEnd w:id="57"/>
      <w:bookmarkEnd w:id="58"/>
      <w:bookmarkStart w:id="59" w:name="_Toc8373_WPSOffice_Level2"/>
      <w:bookmarkStart w:id="60" w:name="_Toc2632_WPSOffice_Level2"/>
      <w:bookmarkStart w:id="61" w:name="_Toc17283_WPSOffice_Level2"/>
      <w:bookmarkStart w:id="62" w:name="_Toc17833_WPSOffice_Level2"/>
      <w:bookmarkStart w:id="63" w:name="_Toc5343_WPSOffice_Level2"/>
      <w:bookmarkStart w:id="64" w:name="_Toc25362_WPSOffice_Level2"/>
    </w:p>
    <w:p>
      <w:pPr>
        <w:spacing w:line="578" w:lineRule="exact"/>
        <w:ind w:firstLine="645"/>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六、一般公共预算财政拨款基本支出决算</w:t>
      </w:r>
      <w:bookmarkEnd w:id="59"/>
      <w:bookmarkEnd w:id="60"/>
      <w:bookmarkEnd w:id="61"/>
      <w:bookmarkEnd w:id="62"/>
      <w:bookmarkEnd w:id="63"/>
      <w:bookmarkEnd w:id="64"/>
      <w:r>
        <w:rPr>
          <w:rFonts w:hint="eastAsia" w:ascii="黑体" w:hAnsi="黑体" w:eastAsia="黑体" w:cs="黑体"/>
          <w:color w:val="000000" w:themeColor="text1"/>
          <w:sz w:val="32"/>
          <w:szCs w:val="32"/>
          <w14:textFill>
            <w14:solidFill>
              <w14:schemeClr w14:val="tx1"/>
            </w14:solidFill>
          </w14:textFill>
        </w:rPr>
        <w:t>公开表</w:t>
      </w:r>
    </w:p>
    <w:p>
      <w:pPr>
        <w:spacing w:line="578" w:lineRule="exact"/>
        <w:ind w:left="1118" w:leftChars="304" w:hanging="480" w:hangingChars="150"/>
        <w:rPr>
          <w:rFonts w:hint="eastAsia" w:ascii="黑体" w:hAnsi="黑体" w:eastAsia="黑体" w:cs="黑体"/>
          <w:color w:val="000000" w:themeColor="text1"/>
          <w:sz w:val="32"/>
          <w:szCs w:val="32"/>
          <w14:textFill>
            <w14:solidFill>
              <w14:schemeClr w14:val="tx1"/>
            </w14:solidFill>
          </w14:textFill>
        </w:rPr>
      </w:pPr>
      <w:bookmarkStart w:id="65" w:name="_Toc21310_WPSOffice_Level2"/>
      <w:bookmarkStart w:id="66" w:name="_Toc6020_WPSOffice_Level2"/>
      <w:bookmarkStart w:id="67" w:name="_Toc11799_WPSOffice_Level2"/>
      <w:bookmarkStart w:id="68" w:name="_Toc5594_WPSOffice_Level2"/>
      <w:bookmarkStart w:id="69" w:name="_Toc1533_WPSOffice_Level2"/>
      <w:bookmarkStart w:id="70" w:name="_Toc13345_WPSOffice_Level2"/>
      <w:r>
        <w:rPr>
          <w:rFonts w:hint="eastAsia" w:ascii="黑体" w:hAnsi="黑体" w:eastAsia="黑体" w:cs="黑体"/>
          <w:color w:val="000000" w:themeColor="text1"/>
          <w:sz w:val="32"/>
          <w:szCs w:val="32"/>
          <w14:textFill>
            <w14:solidFill>
              <w14:schemeClr w14:val="tx1"/>
            </w14:solidFill>
          </w14:textFill>
        </w:rPr>
        <w:t>七、政府性基金预算财政拨款收入支出决算</w:t>
      </w:r>
      <w:bookmarkEnd w:id="65"/>
      <w:bookmarkEnd w:id="66"/>
      <w:bookmarkEnd w:id="67"/>
      <w:bookmarkEnd w:id="68"/>
      <w:bookmarkEnd w:id="69"/>
      <w:bookmarkEnd w:id="70"/>
      <w:r>
        <w:rPr>
          <w:rFonts w:hint="eastAsia" w:ascii="黑体" w:hAnsi="黑体" w:eastAsia="黑体" w:cs="黑体"/>
          <w:color w:val="000000" w:themeColor="text1"/>
          <w:sz w:val="32"/>
          <w:szCs w:val="32"/>
          <w14:textFill>
            <w14:solidFill>
              <w14:schemeClr w14:val="tx1"/>
            </w14:solidFill>
          </w14:textFill>
        </w:rPr>
        <w:t>公开表</w:t>
      </w:r>
    </w:p>
    <w:p>
      <w:pPr>
        <w:spacing w:line="578" w:lineRule="exact"/>
        <w:ind w:left="1118" w:leftChars="304" w:hanging="480" w:hangingChars="15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八、国有资本经营预算财政拨款收入支出决算公开表</w:t>
      </w:r>
    </w:p>
    <w:p>
      <w:pPr>
        <w:spacing w:line="578" w:lineRule="exact"/>
        <w:ind w:firstLine="640"/>
        <w:rPr>
          <w:rFonts w:hint="eastAsia" w:ascii="黑体" w:hAnsi="黑体" w:eastAsia="黑体" w:cs="黑体"/>
          <w:color w:val="000000" w:themeColor="text1"/>
          <w:sz w:val="32"/>
          <w:szCs w:val="32"/>
          <w14:textFill>
            <w14:solidFill>
              <w14:schemeClr w14:val="tx1"/>
            </w14:solidFill>
          </w14:textFill>
        </w:rPr>
      </w:pPr>
      <w:bookmarkStart w:id="71" w:name="_Toc19961_WPSOffice_Level2"/>
      <w:bookmarkStart w:id="72" w:name="_Toc9377_WPSOffice_Level2"/>
      <w:bookmarkStart w:id="73" w:name="_Toc29886_WPSOffice_Level2"/>
      <w:bookmarkStart w:id="74" w:name="_Toc1820_WPSOffice_Level2"/>
      <w:r>
        <w:rPr>
          <w:rFonts w:hint="eastAsia" w:ascii="黑体" w:hAnsi="黑体" w:eastAsia="黑体" w:cs="黑体"/>
          <w:color w:val="000000" w:themeColor="text1"/>
          <w:sz w:val="32"/>
          <w:szCs w:val="32"/>
          <w14:textFill>
            <w14:solidFill>
              <w14:schemeClr w14:val="tx1"/>
            </w14:solidFill>
          </w14:textFill>
        </w:rPr>
        <w:t>九、财政拨款“三公”经费支出决算</w:t>
      </w:r>
      <w:bookmarkEnd w:id="71"/>
      <w:bookmarkEnd w:id="72"/>
      <w:bookmarkEnd w:id="73"/>
      <w:bookmarkEnd w:id="74"/>
      <w:r>
        <w:rPr>
          <w:rFonts w:hint="eastAsia" w:ascii="黑体" w:hAnsi="黑体" w:eastAsia="黑体" w:cs="黑体"/>
          <w:color w:val="000000" w:themeColor="text1"/>
          <w:sz w:val="32"/>
          <w:szCs w:val="32"/>
          <w14:textFill>
            <w14:solidFill>
              <w14:schemeClr w14:val="tx1"/>
            </w14:solidFill>
          </w14:textFill>
        </w:rPr>
        <w:t>公开表</w:t>
      </w:r>
    </w:p>
    <w:p>
      <w:pPr>
        <w:spacing w:line="578" w:lineRule="exact"/>
        <w:ind w:firstLine="640"/>
        <w:rPr>
          <w:rFonts w:hint="eastAsia" w:ascii="仿宋" w:hAnsi="仿宋" w:eastAsia="仿宋" w:cs="仿宋"/>
          <w:color w:val="000000" w:themeColor="text1"/>
          <w:w w:val="100"/>
          <w:sz w:val="32"/>
          <w:szCs w:val="32"/>
          <w14:textFill>
            <w14:solidFill>
              <w14:schemeClr w14:val="tx1"/>
            </w14:solidFill>
          </w14:textFill>
        </w:rPr>
      </w:pPr>
      <w:r>
        <w:rPr>
          <w:rFonts w:hint="eastAsia" w:ascii="仿宋" w:hAnsi="仿宋" w:eastAsia="仿宋" w:cs="仿宋"/>
          <w:color w:val="000000" w:themeColor="text1"/>
          <w:w w:val="100"/>
          <w:sz w:val="32"/>
          <w:szCs w:val="32"/>
          <w14:textFill>
            <w14:solidFill>
              <w14:schemeClr w14:val="tx1"/>
            </w14:solidFill>
          </w14:textFill>
        </w:rPr>
        <w:t xml:space="preserve">以上报表见附件1。   </w:t>
      </w:r>
    </w:p>
    <w:p>
      <w:pPr>
        <w:spacing w:line="578" w:lineRule="exact"/>
        <w:rPr>
          <w:rFonts w:hint="eastAsia" w:ascii="黑体" w:hAnsi="黑体" w:eastAsia="黑体" w:cs="黑体"/>
          <w:color w:val="000000" w:themeColor="text1"/>
          <w:sz w:val="32"/>
          <w:szCs w:val="32"/>
          <w14:textFill>
            <w14:solidFill>
              <w14:schemeClr w14:val="tx1"/>
            </w14:solidFill>
          </w14:textFill>
        </w:rPr>
      </w:pPr>
    </w:p>
    <w:p>
      <w:pPr>
        <w:spacing w:line="578" w:lineRule="exact"/>
        <w:jc w:val="center"/>
        <w:rPr>
          <w:rFonts w:hint="eastAsia" w:ascii="黑体" w:hAnsi="ˎ̥" w:eastAsia="黑体"/>
          <w:color w:val="000000" w:themeColor="text1"/>
          <w:sz w:val="32"/>
          <w:szCs w:val="32"/>
          <w14:textFill>
            <w14:solidFill>
              <w14:schemeClr w14:val="tx1"/>
            </w14:solidFill>
          </w14:textFill>
        </w:rPr>
      </w:pPr>
      <w:bookmarkStart w:id="75" w:name="_Toc31264_WPSOffice_Level1"/>
      <w:bookmarkStart w:id="76" w:name="_Toc29683_WPSOffice_Level1"/>
      <w:bookmarkStart w:id="77" w:name="_Toc4402_WPSOffice_Level1"/>
      <w:bookmarkStart w:id="78" w:name="_Toc16686_WPSOffice_Level1"/>
      <w:bookmarkStart w:id="79" w:name="_Toc27590_WPSOffice_Level1"/>
      <w:bookmarkStart w:id="80" w:name="_Toc28629_WPSOffice_Level1"/>
      <w:r>
        <w:rPr>
          <w:rFonts w:hint="eastAsia" w:ascii="黑体" w:hAnsi="ˎ̥" w:eastAsia="黑体"/>
          <w:color w:val="000000" w:themeColor="text1"/>
          <w:sz w:val="32"/>
          <w:szCs w:val="32"/>
          <w14:textFill>
            <w14:solidFill>
              <w14:schemeClr w14:val="tx1"/>
            </w14:solidFill>
          </w14:textFill>
        </w:rPr>
        <w:t xml:space="preserve">第三部分  </w:t>
      </w:r>
      <w:r>
        <w:rPr>
          <w:rFonts w:hint="default" w:ascii="黑体" w:hAnsi="ˎ̥" w:eastAsia="黑体"/>
          <w:color w:val="000000" w:themeColor="text1"/>
          <w:sz w:val="32"/>
          <w:szCs w:val="32"/>
          <w:lang w:val="en-US"/>
          <w14:textFill>
            <w14:solidFill>
              <w14:schemeClr w14:val="tx1"/>
            </w14:solidFill>
          </w14:textFill>
        </w:rPr>
        <w:t>2024</w:t>
      </w:r>
      <w:r>
        <w:rPr>
          <w:rFonts w:hint="eastAsia" w:ascii="黑体" w:hAnsi="ˎ̥" w:eastAsia="黑体"/>
          <w:color w:val="000000" w:themeColor="text1"/>
          <w:sz w:val="32"/>
          <w:szCs w:val="32"/>
          <w14:textFill>
            <w14:solidFill>
              <w14:schemeClr w14:val="tx1"/>
            </w14:solidFill>
          </w14:textFill>
        </w:rPr>
        <w:t>年度部门决算情况说明</w:t>
      </w:r>
      <w:bookmarkEnd w:id="75"/>
      <w:bookmarkEnd w:id="76"/>
      <w:bookmarkEnd w:id="77"/>
      <w:bookmarkEnd w:id="78"/>
      <w:bookmarkEnd w:id="79"/>
      <w:bookmarkEnd w:id="80"/>
    </w:p>
    <w:p>
      <w:pPr>
        <w:spacing w:line="578" w:lineRule="exact"/>
        <w:jc w:val="center"/>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一、收入支出总体情况说明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楷体_GB2312" w:hAnsi="ˎ̥" w:eastAsia="楷体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年度收入总计</w:t>
      </w:r>
      <w:r>
        <w:rPr>
          <w:rFonts w:hint="default" w:ascii="仿宋_GB2312" w:hAnsi="ˎ̥" w:eastAsia="仿宋_GB2312"/>
          <w:color w:val="000000" w:themeColor="text1"/>
          <w:sz w:val="32"/>
          <w:szCs w:val="32"/>
          <w:lang w:val="en-US"/>
          <w14:textFill>
            <w14:solidFill>
              <w14:schemeClr w14:val="tx1"/>
            </w14:solidFill>
          </w14:textFill>
        </w:rPr>
        <w:t>1,182.05</w:t>
      </w:r>
      <w:r>
        <w:rPr>
          <w:rFonts w:hint="eastAsia" w:ascii="仿宋_GB2312" w:hAnsi="ˎ̥" w:eastAsia="仿宋_GB2312"/>
          <w:color w:val="000000" w:themeColor="text1"/>
          <w:sz w:val="32"/>
          <w:szCs w:val="32"/>
          <w14:textFill>
            <w14:solidFill>
              <w14:schemeClr w14:val="tx1"/>
            </w14:solidFill>
          </w14:textFill>
        </w:rPr>
        <w:t>万元，支出总计</w:t>
      </w:r>
      <w:r>
        <w:rPr>
          <w:rFonts w:hint="default" w:ascii="仿宋_GB2312" w:hAnsi="ˎ̥" w:eastAsia="仿宋_GB2312"/>
          <w:color w:val="000000" w:themeColor="text1"/>
          <w:sz w:val="32"/>
          <w:szCs w:val="32"/>
          <w:lang w:val="en-US"/>
          <w14:textFill>
            <w14:solidFill>
              <w14:schemeClr w14:val="tx1"/>
            </w14:solidFill>
          </w14:textFill>
        </w:rPr>
        <w:t>1,182.05</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年度相比，收入、支出总计各增加</w:t>
      </w:r>
      <w:r>
        <w:rPr>
          <w:rFonts w:hint="eastAsia" w:ascii="仿宋_GB2312" w:hAnsi="ˎ̥" w:eastAsia="仿宋_GB2312"/>
          <w:color w:val="000000" w:themeColor="text1"/>
          <w:sz w:val="32"/>
          <w:szCs w:val="32"/>
          <w:lang w:val="en-US" w:eastAsia="zh-CN"/>
          <w14:textFill>
            <w14:solidFill>
              <w14:schemeClr w14:val="tx1"/>
            </w14:solidFill>
          </w14:textFill>
        </w:rPr>
        <w:t>104.98</w:t>
      </w:r>
      <w:r>
        <w:rPr>
          <w:rFonts w:hint="eastAsia" w:ascii="仿宋_GB2312" w:hAnsi="ˎ̥" w:eastAsia="仿宋_GB2312"/>
          <w:color w:val="000000" w:themeColor="text1"/>
          <w:sz w:val="32"/>
          <w:szCs w:val="32"/>
          <w14:textFill>
            <w14:solidFill>
              <w14:schemeClr w14:val="tx1"/>
            </w14:solidFill>
          </w14:textFill>
        </w:rPr>
        <w:t>万元，增长（下降）</w:t>
      </w:r>
      <w:r>
        <w:rPr>
          <w:rFonts w:hint="eastAsia" w:ascii="仿宋_GB2312" w:hAnsi="ˎ̥" w:eastAsia="仿宋_GB2312"/>
          <w:color w:val="000000" w:themeColor="text1"/>
          <w:sz w:val="32"/>
          <w:szCs w:val="32"/>
          <w:lang w:val="en-US" w:eastAsia="zh-CN"/>
          <w14:textFill>
            <w14:solidFill>
              <w14:schemeClr w14:val="tx1"/>
            </w14:solidFill>
          </w14:textFill>
        </w:rPr>
        <w:t>8</w:t>
      </w:r>
      <w:r>
        <w:rPr>
          <w:rFonts w:hint="eastAsia" w:ascii="仿宋_GB2312" w:hAnsi="ˎ̥" w:eastAsia="仿宋_GB2312"/>
          <w:color w:val="000000" w:themeColor="text1"/>
          <w:sz w:val="32"/>
          <w:szCs w:val="32"/>
          <w14:textFill>
            <w14:solidFill>
              <w14:schemeClr w14:val="tx1"/>
            </w14:solidFill>
          </w14:textFill>
        </w:rPr>
        <w:t>%。主要原因：一是</w:t>
      </w:r>
      <w:r>
        <w:rPr>
          <w:rFonts w:hint="eastAsia" w:ascii="仿宋_GB2312" w:hAnsi="ˎ̥" w:eastAsia="仿宋_GB2312"/>
          <w:color w:val="000000" w:themeColor="text1"/>
          <w:sz w:val="32"/>
          <w:szCs w:val="32"/>
          <w:lang w:eastAsia="zh-CN"/>
          <w14:textFill>
            <w14:solidFill>
              <w14:schemeClr w14:val="tx1"/>
            </w14:solidFill>
          </w14:textFill>
        </w:rPr>
        <w:t>设立基层立法联系点，增加收入及费用经费</w:t>
      </w:r>
      <w:r>
        <w:rPr>
          <w:rFonts w:hint="eastAsia" w:ascii="仿宋_GB2312" w:hAnsi="ˎ̥" w:eastAsia="仿宋_GB2312"/>
          <w:color w:val="000000" w:themeColor="text1"/>
          <w:sz w:val="32"/>
          <w:szCs w:val="32"/>
          <w14:textFill>
            <w14:solidFill>
              <w14:schemeClr w14:val="tx1"/>
            </w14:solidFill>
          </w14:textFill>
        </w:rPr>
        <w:t>；二是</w:t>
      </w:r>
      <w:r>
        <w:rPr>
          <w:rFonts w:hint="eastAsia" w:ascii="仿宋_GB2312" w:hAnsi="ˎ̥" w:eastAsia="仿宋_GB2312"/>
          <w:color w:val="000000" w:themeColor="text1"/>
          <w:sz w:val="32"/>
          <w:szCs w:val="32"/>
          <w:lang w:eastAsia="zh-CN"/>
          <w14:textFill>
            <w14:solidFill>
              <w14:schemeClr w14:val="tx1"/>
            </w14:solidFill>
          </w14:textFill>
        </w:rPr>
        <w:t>增加人员编制，人员支出（工资、社保）会增加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收入</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w:t>
      </w:r>
      <w:r>
        <w:rPr>
          <w:rFonts w:ascii="仿宋_GB2312" w:hAnsi="ˎ̥" w:eastAsia="仿宋_GB2312"/>
          <w:color w:val="000000" w:themeColor="text1"/>
          <w:sz w:val="32"/>
          <w:szCs w:val="32"/>
          <w14:textFill>
            <w14:solidFill>
              <w14:schemeClr w14:val="tx1"/>
            </w14:solidFill>
          </w14:textFill>
        </w:rPr>
        <w:t>收入</w:t>
      </w:r>
      <w:r>
        <w:rPr>
          <w:rFonts w:hint="default" w:ascii="仿宋_GB2312" w:hAnsi="ˎ̥" w:eastAsia="仿宋_GB2312"/>
          <w:color w:val="000000" w:themeColor="text1"/>
          <w:sz w:val="32"/>
          <w:szCs w:val="32"/>
          <w:lang w:val="en-US"/>
          <w14:textFill>
            <w14:solidFill>
              <w14:schemeClr w14:val="tx1"/>
            </w14:solidFill>
          </w14:textFill>
        </w:rPr>
        <w:t>1,180.52</w:t>
      </w:r>
      <w:r>
        <w:rPr>
          <w:rFonts w:hint="eastAsia" w:ascii="仿宋_GB2312" w:hAnsi="ˎ̥" w:eastAsia="仿宋_GB2312"/>
          <w:color w:val="000000" w:themeColor="text1"/>
          <w:sz w:val="32"/>
          <w:szCs w:val="32"/>
          <w14:textFill>
            <w14:solidFill>
              <w14:schemeClr w14:val="tx1"/>
            </w14:solidFill>
          </w14:textFill>
        </w:rPr>
        <w:t>万元。</w:t>
      </w:r>
    </w:p>
    <w:p>
      <w:pPr>
        <w:spacing w:line="578" w:lineRule="exact"/>
        <w:ind w:firstLine="640" w:firstLineChars="200"/>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使用非财政拨款结余</w:t>
      </w:r>
      <w:r>
        <w:rPr>
          <w:rFonts w:ascii="仿宋_GB2312" w:hAnsi="ˎ̥" w:eastAsia="仿宋_GB2312"/>
          <w:color w:val="000000" w:themeColor="text1"/>
          <w:sz w:val="32"/>
          <w:szCs w:val="32"/>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万元，较202</w:t>
      </w:r>
      <w:r>
        <w:rPr>
          <w:rFonts w:ascii="仿宋_GB2312" w:hAnsi="ˎ̥" w:eastAsia="仿宋_GB2312"/>
          <w:color w:val="000000" w:themeColor="text1"/>
          <w:sz w:val="32"/>
          <w:szCs w:val="32"/>
          <w14:textFill>
            <w14:solidFill>
              <w14:schemeClr w14:val="tx1"/>
            </w14:solidFill>
          </w14:textFill>
        </w:rPr>
        <w:t>2</w:t>
      </w:r>
      <w:r>
        <w:rPr>
          <w:rFonts w:hint="eastAsia" w:ascii="仿宋_GB2312" w:hAnsi="ˎ̥" w:eastAsia="仿宋_GB2312"/>
          <w:color w:val="000000" w:themeColor="text1"/>
          <w:sz w:val="32"/>
          <w:szCs w:val="32"/>
          <w14:textFill>
            <w14:solidFill>
              <w14:schemeClr w14:val="tx1"/>
            </w14:solidFill>
          </w14:textFill>
        </w:rPr>
        <w:t>年度决算数增加0万元，主要原因是非财政拨款资金为0元。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年初结转结余</w:t>
      </w:r>
      <w:r>
        <w:rPr>
          <w:rFonts w:hint="default" w:ascii="仿宋_GB2312" w:hAnsi="ˎ̥" w:eastAsia="仿宋_GB2312"/>
          <w:color w:val="000000" w:themeColor="text1"/>
          <w:sz w:val="32"/>
          <w:szCs w:val="32"/>
          <w:lang w:val="en-US"/>
          <w14:textFill>
            <w14:solidFill>
              <w14:schemeClr w14:val="tx1"/>
            </w14:solidFill>
          </w14:textFill>
        </w:rPr>
        <w:t>1.53</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本次核算的年初结转资金，其资金来源明确为</w:t>
      </w:r>
      <w:r>
        <w:rPr>
          <w:rFonts w:hint="eastAsia" w:ascii="仿宋_GB2312" w:hAnsi="ˎ̥" w:eastAsia="仿宋_GB2312"/>
          <w:color w:val="000000" w:themeColor="text1"/>
          <w:sz w:val="32"/>
          <w:szCs w:val="32"/>
          <w:lang w:val="en-US" w:eastAsia="zh-CN"/>
          <w14:textFill>
            <w14:solidFill>
              <w14:schemeClr w14:val="tx1"/>
            </w14:solidFill>
          </w14:textFill>
        </w:rPr>
        <w:t>2024年第四季工会经费，主要用于承担上年度工会未完成结算的第四季费用。</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年度决算数减少</w:t>
      </w:r>
      <w:r>
        <w:rPr>
          <w:rFonts w:hint="eastAsia" w:ascii="仿宋_GB2312" w:hAnsi="ˎ̥" w:eastAsia="仿宋_GB2312"/>
          <w:color w:val="000000" w:themeColor="text1"/>
          <w:sz w:val="32"/>
          <w:szCs w:val="32"/>
          <w:lang w:val="en-US" w:eastAsia="zh-CN"/>
          <w14:textFill>
            <w14:solidFill>
              <w14:schemeClr w14:val="tx1"/>
            </w14:solidFill>
          </w14:textFill>
        </w:rPr>
        <w:t>213.3</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99.2</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财务对年初结转结余资金属性存在误解，误将其认作年底盘活资金，导致核算口径差异，进而形成该数据变化</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lang w:eastAsia="zh-CN"/>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ascii="楷体" w:hAnsi="楷体" w:eastAsia="楷体" w:cs="楷体"/>
          <w:color w:val="000000" w:themeColor="text1"/>
          <w:sz w:val="32"/>
          <w:szCs w:val="32"/>
          <w14:textFill>
            <w14:solidFill>
              <w14:schemeClr w14:val="tx1"/>
            </w14:solidFill>
          </w14:textFill>
        </w:rPr>
        <w:t>）</w:t>
      </w:r>
      <w:r>
        <w:rPr>
          <w:rFonts w:hint="eastAsia" w:ascii="楷体" w:hAnsi="楷体" w:eastAsia="楷体" w:cs="楷体"/>
          <w:color w:val="000000" w:themeColor="text1"/>
          <w:sz w:val="32"/>
          <w:szCs w:val="32"/>
          <w14:textFill>
            <w14:solidFill>
              <w14:schemeClr w14:val="tx1"/>
            </w14:solidFill>
          </w14:textFill>
        </w:rPr>
        <w:t>支出</w:t>
      </w:r>
      <w:r>
        <w:rPr>
          <w:rFonts w:ascii="楷体" w:hAnsi="楷体" w:eastAsia="楷体" w:cs="楷体"/>
          <w:color w:val="000000" w:themeColor="text1"/>
          <w:sz w:val="32"/>
          <w:szCs w:val="32"/>
          <w14:textFill>
            <w14:solidFill>
              <w14:schemeClr w14:val="tx1"/>
            </w14:solidFill>
          </w14:textFill>
        </w:rPr>
        <w:t>总计</w:t>
      </w:r>
      <w:r>
        <w:rPr>
          <w:rFonts w:hint="eastAsia" w:ascii="楷体" w:hAnsi="楷体" w:eastAsia="楷体" w:cs="楷体"/>
          <w:color w:val="000000" w:themeColor="text1"/>
          <w:sz w:val="32"/>
          <w:szCs w:val="32"/>
          <w14:textFill>
            <w14:solidFill>
              <w14:schemeClr w14:val="tx1"/>
            </w14:solidFill>
          </w14:textFill>
        </w:rPr>
        <w:t>主要</w:t>
      </w:r>
      <w:r>
        <w:rPr>
          <w:rFonts w:ascii="楷体" w:hAnsi="楷体" w:eastAsia="楷体" w:cs="楷体"/>
          <w:color w:val="000000" w:themeColor="text1"/>
          <w:sz w:val="32"/>
          <w:szCs w:val="32"/>
          <w14:textFill>
            <w14:solidFill>
              <w14:schemeClr w14:val="tx1"/>
            </w14:solidFill>
          </w14:textFill>
        </w:rPr>
        <w:t>构成</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1,182.05</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结余分配</w:t>
      </w:r>
      <w:r>
        <w:rPr>
          <w:rFonts w:hint="eastAsia" w:ascii="仿宋_GB2312" w:hAnsi="ˎ̥" w:eastAsia="仿宋_GB2312"/>
          <w:color w:val="000000" w:themeColor="text1"/>
          <w:sz w:val="32"/>
          <w:szCs w:val="32"/>
          <w:lang w:val="en-US" w:eastAsia="zh-CN"/>
          <w14:textFill>
            <w14:solidFill>
              <w14:schemeClr w14:val="tx1"/>
            </w14:solidFill>
          </w14:textFill>
        </w:rPr>
        <w:t>1.53</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本次核算的年初结转资金，其资金来源明确为</w:t>
      </w:r>
      <w:r>
        <w:rPr>
          <w:rFonts w:hint="eastAsia" w:ascii="仿宋_GB2312" w:hAnsi="ˎ̥" w:eastAsia="仿宋_GB2312"/>
          <w:color w:val="000000" w:themeColor="text1"/>
          <w:sz w:val="32"/>
          <w:szCs w:val="32"/>
          <w:lang w:val="en-US" w:eastAsia="zh-CN"/>
          <w14:textFill>
            <w14:solidFill>
              <w14:schemeClr w14:val="tx1"/>
            </w14:solidFill>
          </w14:textFill>
        </w:rPr>
        <w:t>2024年第四季工会经费，主要用于承担上年度工会未完成结算的第四季费用</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年度决算数减少</w:t>
      </w:r>
      <w:r>
        <w:rPr>
          <w:rFonts w:hint="eastAsia" w:ascii="仿宋_GB2312" w:hAnsi="ˎ̥" w:eastAsia="仿宋_GB2312"/>
          <w:color w:val="000000" w:themeColor="text1"/>
          <w:sz w:val="32"/>
          <w:szCs w:val="32"/>
          <w:lang w:val="en-US" w:eastAsia="zh-CN"/>
          <w14:textFill>
            <w14:solidFill>
              <w14:schemeClr w14:val="tx1"/>
            </w14:solidFill>
          </w14:textFill>
        </w:rPr>
        <w:t>213.3</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99.2</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财务对年初结转结余资金属性存在误解，误将其认作年底盘活资金，导致核算口径差异，进而形成该数据变化</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年末结转结余</w:t>
      </w:r>
      <w:r>
        <w:rPr>
          <w:rFonts w:hint="eastAsia" w:ascii="仿宋_GB2312" w:hAnsi="ˎ̥" w:eastAsia="仿宋_GB2312"/>
          <w:color w:val="000000" w:themeColor="text1"/>
          <w:sz w:val="32"/>
          <w:szCs w:val="32"/>
          <w:lang w:val="en-US" w:eastAsia="zh-CN"/>
          <w14:textFill>
            <w14:solidFill>
              <w14:schemeClr w14:val="tx1"/>
            </w14:solidFill>
          </w14:textFill>
        </w:rPr>
        <w:t>1.53</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本次核算的年初结转资金，其资金来源明确为</w:t>
      </w:r>
      <w:r>
        <w:rPr>
          <w:rFonts w:hint="eastAsia" w:ascii="仿宋_GB2312" w:hAnsi="ˎ̥" w:eastAsia="仿宋_GB2312"/>
          <w:color w:val="000000" w:themeColor="text1"/>
          <w:sz w:val="32"/>
          <w:szCs w:val="32"/>
          <w:lang w:val="en-US" w:eastAsia="zh-CN"/>
          <w14:textFill>
            <w14:solidFill>
              <w14:schemeClr w14:val="tx1"/>
            </w14:solidFill>
          </w14:textFill>
        </w:rPr>
        <w:t>2024年第四季工会经费，主要用于承担上年度工会未完成结算的第四季费用，</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年度决算数减少</w:t>
      </w:r>
      <w:r>
        <w:rPr>
          <w:rFonts w:hint="eastAsia" w:ascii="仿宋_GB2312" w:hAnsi="ˎ̥" w:eastAsia="仿宋_GB2312"/>
          <w:color w:val="000000" w:themeColor="text1"/>
          <w:sz w:val="32"/>
          <w:szCs w:val="32"/>
          <w:lang w:val="en-US" w:eastAsia="zh-CN"/>
          <w14:textFill>
            <w14:solidFill>
              <w14:schemeClr w14:val="tx1"/>
            </w14:solidFill>
          </w14:textFill>
        </w:rPr>
        <w:t>213.3</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99.2</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财务对年初结转结余资金属性存在误解，误将其认作年底盘活资金，导致核算口径差异，进而形成该数据变化</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（注</w:t>
      </w:r>
      <w:r>
        <w:rPr>
          <w:rFonts w:ascii="仿宋_GB2312" w:hAnsi="ˎ̥" w:eastAsia="仿宋_GB2312"/>
          <w:color w:val="000000" w:themeColor="text1"/>
          <w:sz w:val="32"/>
          <w:szCs w:val="32"/>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年度相关决算数据可取自附件财决公开01、02</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03</w:t>
      </w:r>
      <w:r>
        <w:rPr>
          <w:rFonts w:hint="eastAsia" w:ascii="仿宋_GB2312" w:hAnsi="ˎ̥" w:eastAsia="仿宋_GB2312"/>
          <w:color w:val="000000" w:themeColor="text1"/>
          <w:sz w:val="32"/>
          <w:szCs w:val="32"/>
          <w14:textFill>
            <w14:solidFill>
              <w14:schemeClr w14:val="tx1"/>
            </w14:solidFill>
          </w14:textFill>
        </w:rPr>
        <w:t>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年度相关决算数据可取自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年度部门决算报表财决01表《收入支出决算总表》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二、收入决算情况说明</w:t>
      </w:r>
      <w:r>
        <w:rPr>
          <w:rFonts w:hint="eastAsia" w:ascii="黑体" w:hAnsi="黑体" w:eastAsia="黑体" w:cs="黑体"/>
          <w:bCs/>
          <w:color w:val="000000" w:themeColor="text1"/>
          <w:sz w:val="32"/>
          <w:szCs w:val="32"/>
          <w14:textFill>
            <w14:solidFill>
              <w14:schemeClr w14:val="tx1"/>
            </w14:solidFill>
          </w14:textFill>
        </w:rPr>
        <w:br w:type="textWrapping"/>
      </w:r>
      <w:r>
        <w:rPr>
          <w:rFonts w:hint="eastAsia" w:ascii="仿宋_GB2312" w:hAnsi="ˎ̥" w:eastAsia="仿宋_GB2312"/>
          <w:color w:val="000000" w:themeColor="text1"/>
          <w:sz w:val="32"/>
          <w:szCs w:val="32"/>
          <w14:textFill>
            <w14:solidFill>
              <w14:schemeClr w14:val="tx1"/>
            </w14:solidFill>
          </w14:textFill>
        </w:rPr>
        <w:t xml:space="preserve">    本年收入</w:t>
      </w:r>
      <w:r>
        <w:rPr>
          <w:rFonts w:hint="default" w:ascii="仿宋_GB2312" w:hAnsi="ˎ̥" w:eastAsia="仿宋_GB2312"/>
          <w:color w:val="000000" w:themeColor="text1"/>
          <w:sz w:val="32"/>
          <w:szCs w:val="32"/>
          <w:lang w:val="en-US"/>
          <w14:textFill>
            <w14:solidFill>
              <w14:schemeClr w14:val="tx1"/>
            </w14:solidFill>
          </w14:textFill>
        </w:rPr>
        <w:t>1,180.52</w:t>
      </w:r>
      <w:r>
        <w:rPr>
          <w:rFonts w:hint="eastAsia" w:ascii="仿宋_GB2312" w:hAnsi="ˎ̥" w:eastAsia="仿宋_GB2312"/>
          <w:color w:val="000000" w:themeColor="text1"/>
          <w:sz w:val="32"/>
          <w:szCs w:val="32"/>
          <w14:textFill>
            <w14:solidFill>
              <w14:schemeClr w14:val="tx1"/>
            </w14:solidFill>
          </w14:textFill>
        </w:rPr>
        <w:t>万元，其中：财政拨款收入</w:t>
      </w:r>
      <w:r>
        <w:rPr>
          <w:rFonts w:hint="default" w:ascii="仿宋_GB2312" w:hAnsi="ˎ̥" w:eastAsia="仿宋_GB2312"/>
          <w:color w:val="000000" w:themeColor="text1"/>
          <w:sz w:val="32"/>
          <w:szCs w:val="32"/>
          <w:lang w:val="en-US"/>
          <w14:textFill>
            <w14:solidFill>
              <w14:schemeClr w14:val="tx1"/>
            </w14:solidFill>
          </w14:textFill>
        </w:rPr>
        <w:t>1,160.52</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98.3</w:t>
      </w:r>
      <w:r>
        <w:rPr>
          <w:rFonts w:hint="eastAsia" w:ascii="仿宋_GB2312" w:hAnsi="ˎ̥" w:eastAsia="仿宋_GB2312"/>
          <w:color w:val="000000" w:themeColor="text1"/>
          <w:sz w:val="32"/>
          <w:szCs w:val="32"/>
          <w14:textFill>
            <w14:solidFill>
              <w14:schemeClr w14:val="tx1"/>
            </w14:solidFill>
          </w14:textFill>
        </w:rPr>
        <w:t>%；上级补助收入</w:t>
      </w:r>
      <w:r>
        <w:rPr>
          <w:rFonts w:hint="eastAsia" w:ascii="仿宋_GB2312" w:hAnsi="ˎ̥" w:eastAsia="仿宋_GB2312"/>
          <w:color w:val="000000" w:themeColor="text1"/>
          <w:sz w:val="32"/>
          <w:szCs w:val="32"/>
          <w:lang w:val="en-US" w:eastAsia="zh-CN"/>
          <w14:textFill>
            <w14:solidFill>
              <w14:schemeClr w14:val="tx1"/>
            </w14:solidFill>
          </w14:textFill>
        </w:rPr>
        <w:t>1160.52</w:t>
      </w:r>
      <w:r>
        <w:rPr>
          <w:rFonts w:hint="eastAsia" w:ascii="仿宋_GB2312" w:hAnsi="ˎ̥" w:eastAsia="仿宋_GB2312"/>
          <w:color w:val="000000" w:themeColor="text1"/>
          <w:sz w:val="32"/>
          <w:szCs w:val="32"/>
          <w14:textFill>
            <w14:solidFill>
              <w14:schemeClr w14:val="tx1"/>
            </w14:solidFill>
          </w14:textFill>
        </w:rPr>
        <w:t>万元，其他收入</w:t>
      </w:r>
      <w:r>
        <w:rPr>
          <w:rFonts w:hint="default" w:ascii="仿宋_GB2312" w:hAnsi="ˎ̥" w:eastAsia="仿宋_GB2312"/>
          <w:color w:val="000000" w:themeColor="text1"/>
          <w:sz w:val="32"/>
          <w:szCs w:val="32"/>
          <w:lang w:val="en-US"/>
          <w14:textFill>
            <w14:solidFill>
              <w14:schemeClr w14:val="tx1"/>
            </w14:solidFill>
          </w14:textFill>
        </w:rPr>
        <w:t>20.00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1.7</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left="412" w:leftChars="196"/>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上述各项收入数可取自财决公开02表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三、支出决算情况说明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本年支出</w:t>
      </w:r>
      <w:r>
        <w:rPr>
          <w:rFonts w:hint="default" w:ascii="仿宋_GB2312" w:hAnsi="ˎ̥" w:eastAsia="仿宋_GB2312"/>
          <w:color w:val="000000" w:themeColor="text1"/>
          <w:sz w:val="32"/>
          <w:szCs w:val="32"/>
          <w:lang w:val="en-US"/>
          <w14:textFill>
            <w14:solidFill>
              <w14:schemeClr w14:val="tx1"/>
            </w14:solidFill>
          </w14:textFill>
        </w:rPr>
        <w:t>1,182.05</w:t>
      </w:r>
      <w:r>
        <w:rPr>
          <w:rFonts w:hint="eastAsia" w:ascii="仿宋_GB2312" w:hAnsi="ˎ̥" w:eastAsia="仿宋_GB2312"/>
          <w:color w:val="000000" w:themeColor="text1"/>
          <w:sz w:val="32"/>
          <w:szCs w:val="32"/>
          <w14:textFill>
            <w14:solidFill>
              <w14:schemeClr w14:val="tx1"/>
            </w14:solidFill>
          </w14:textFill>
        </w:rPr>
        <w:t>万元，其中：基本支出</w:t>
      </w:r>
      <w:r>
        <w:rPr>
          <w:rFonts w:hint="default" w:ascii="仿宋_GB2312" w:hAnsi="ˎ̥" w:eastAsia="仿宋_GB2312"/>
          <w:color w:val="000000" w:themeColor="text1"/>
          <w:sz w:val="32"/>
          <w:szCs w:val="32"/>
          <w:lang w:val="en-US"/>
          <w14:textFill>
            <w14:solidFill>
              <w14:schemeClr w14:val="tx1"/>
            </w14:solidFill>
          </w14:textFill>
        </w:rPr>
        <w:t>997.04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84.3</w:t>
      </w:r>
      <w:r>
        <w:rPr>
          <w:rFonts w:hint="eastAsia" w:ascii="仿宋_GB2312" w:hAnsi="ˎ̥" w:eastAsia="仿宋_GB2312"/>
          <w:color w:val="000000" w:themeColor="text1"/>
          <w:sz w:val="32"/>
          <w:szCs w:val="32"/>
          <w14:textFill>
            <w14:solidFill>
              <w14:schemeClr w14:val="tx1"/>
            </w14:solidFill>
          </w14:textFill>
        </w:rPr>
        <w:t>%；项目支出</w:t>
      </w:r>
      <w:r>
        <w:rPr>
          <w:rFonts w:hint="default" w:ascii="仿宋_GB2312" w:hAnsi="ˎ̥" w:eastAsia="仿宋_GB2312"/>
          <w:color w:val="000000" w:themeColor="text1"/>
          <w:sz w:val="32"/>
          <w:szCs w:val="32"/>
          <w:lang w:val="en-US"/>
          <w14:textFill>
            <w14:solidFill>
              <w14:schemeClr w14:val="tx1"/>
            </w14:solidFill>
          </w14:textFill>
        </w:rPr>
        <w:t>185.01</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15.7</w:t>
      </w: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上述各项支出数可取自财决公开03表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四、财政拨款收入支出决算总体情况说明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年度财政拨款收入</w:t>
      </w:r>
      <w:r>
        <w:rPr>
          <w:rFonts w:hint="default" w:ascii="仿宋_GB2312" w:hAnsi="ˎ̥" w:eastAsia="仿宋_GB2312"/>
          <w:color w:val="000000" w:themeColor="text1"/>
          <w:sz w:val="32"/>
          <w:szCs w:val="32"/>
          <w:lang w:val="en-US"/>
          <w14:textFill>
            <w14:solidFill>
              <w14:schemeClr w14:val="tx1"/>
            </w14:solidFill>
          </w14:textFill>
        </w:rPr>
        <w:t>1,160.52</w:t>
      </w:r>
      <w:r>
        <w:rPr>
          <w:rFonts w:hint="eastAsia" w:ascii="仿宋_GB2312" w:hAnsi="ˎ̥" w:eastAsia="仿宋_GB2312"/>
          <w:color w:val="000000" w:themeColor="text1"/>
          <w:sz w:val="32"/>
          <w:szCs w:val="32"/>
          <w14:textFill>
            <w14:solidFill>
              <w14:schemeClr w14:val="tx1"/>
            </w14:solidFill>
          </w14:textFill>
        </w:rPr>
        <w:t>万元，支出</w:t>
      </w:r>
      <w:r>
        <w:rPr>
          <w:rFonts w:hint="default" w:ascii="仿宋_GB2312" w:hAnsi="ˎ̥" w:eastAsia="仿宋_GB2312"/>
          <w:color w:val="000000" w:themeColor="text1"/>
          <w:sz w:val="32"/>
          <w:szCs w:val="32"/>
          <w:lang w:val="en-US"/>
          <w14:textFill>
            <w14:solidFill>
              <w14:schemeClr w14:val="tx1"/>
            </w14:solidFill>
          </w14:textFill>
        </w:rPr>
        <w:t>1,162.05</w:t>
      </w:r>
      <w:r>
        <w:rPr>
          <w:rFonts w:hint="eastAsia" w:ascii="仿宋_GB2312" w:hAnsi="ˎ̥" w:eastAsia="仿宋_GB2312"/>
          <w:color w:val="000000" w:themeColor="text1"/>
          <w:sz w:val="32"/>
          <w:szCs w:val="32"/>
          <w14:textFill>
            <w14:solidFill>
              <w14:schemeClr w14:val="tx1"/>
            </w14:solidFill>
          </w14:textFill>
        </w:rPr>
        <w:t>万元。与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年度相比，财政拨款收入增加</w:t>
      </w:r>
      <w:r>
        <w:rPr>
          <w:rFonts w:hint="eastAsia" w:ascii="仿宋_GB2312" w:hAnsi="ˎ̥" w:eastAsia="仿宋_GB2312"/>
          <w:color w:val="000000" w:themeColor="text1"/>
          <w:sz w:val="32"/>
          <w:szCs w:val="32"/>
          <w:lang w:val="en-US" w:eastAsia="zh-CN"/>
          <w14:textFill>
            <w14:solidFill>
              <w14:schemeClr w14:val="tx1"/>
            </w14:solidFill>
          </w14:textFill>
        </w:rPr>
        <w:t>298.28</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25.7</w:t>
      </w:r>
      <w:r>
        <w:rPr>
          <w:rFonts w:hint="eastAsia" w:ascii="仿宋_GB2312" w:hAnsi="ˎ̥" w:eastAsia="仿宋_GB2312"/>
          <w:color w:val="000000" w:themeColor="text1"/>
          <w:sz w:val="32"/>
          <w:szCs w:val="32"/>
          <w14:textFill>
            <w14:solidFill>
              <w14:schemeClr w14:val="tx1"/>
            </w14:solidFill>
          </w14:textFill>
        </w:rPr>
        <w:t>%，主要原因：人员增加</w:t>
      </w:r>
      <w:r>
        <w:rPr>
          <w:rFonts w:hint="eastAsia" w:ascii="仿宋_GB2312" w:hAnsi="ˎ̥" w:eastAsia="仿宋_GB2312"/>
          <w:color w:val="000000" w:themeColor="text1"/>
          <w:sz w:val="32"/>
          <w:szCs w:val="32"/>
          <w:lang w:eastAsia="zh-CN"/>
          <w14:textFill>
            <w14:solidFill>
              <w14:schemeClr w14:val="tx1"/>
            </w14:solidFill>
          </w14:textFill>
        </w:rPr>
        <w:t>及人头经费增加</w:t>
      </w:r>
      <w:r>
        <w:rPr>
          <w:rFonts w:hint="eastAsia" w:ascii="仿宋_GB2312" w:hAnsi="ˎ̥" w:eastAsia="仿宋_GB2312"/>
          <w:color w:val="000000" w:themeColor="text1"/>
          <w:sz w:val="32"/>
          <w:szCs w:val="32"/>
          <w14:textFill>
            <w14:solidFill>
              <w14:schemeClr w14:val="tx1"/>
            </w14:solidFill>
          </w14:textFill>
        </w:rPr>
        <w:t>。支出增加</w:t>
      </w:r>
      <w:r>
        <w:rPr>
          <w:rFonts w:hint="eastAsia" w:ascii="仿宋_GB2312" w:hAnsi="ˎ̥" w:eastAsia="仿宋_GB2312"/>
          <w:color w:val="000000" w:themeColor="text1"/>
          <w:sz w:val="32"/>
          <w:szCs w:val="32"/>
          <w:lang w:val="en-US" w:eastAsia="zh-CN"/>
          <w14:textFill>
            <w14:solidFill>
              <w14:schemeClr w14:val="tx1"/>
            </w14:solidFill>
          </w14:textFill>
        </w:rPr>
        <w:t>298.28</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25.7</w:t>
      </w:r>
      <w:r>
        <w:rPr>
          <w:rFonts w:hint="eastAsia" w:ascii="仿宋_GB2312" w:hAnsi="ˎ̥" w:eastAsia="仿宋_GB2312"/>
          <w:color w:val="000000" w:themeColor="text1"/>
          <w:sz w:val="32"/>
          <w:szCs w:val="32"/>
          <w14:textFill>
            <w14:solidFill>
              <w14:schemeClr w14:val="tx1"/>
            </w14:solidFill>
          </w14:textFill>
        </w:rPr>
        <w:t>%，主要原因：一是</w:t>
      </w:r>
      <w:r>
        <w:rPr>
          <w:rFonts w:hint="eastAsia" w:ascii="仿宋_GB2312" w:hAnsi="ˎ̥" w:eastAsia="仿宋_GB2312"/>
          <w:color w:val="000000" w:themeColor="text1"/>
          <w:sz w:val="32"/>
          <w:szCs w:val="32"/>
          <w:lang w:eastAsia="zh-CN"/>
          <w14:textFill>
            <w14:solidFill>
              <w14:schemeClr w14:val="tx1"/>
            </w14:solidFill>
          </w14:textFill>
        </w:rPr>
        <w:t>设立基层立法联系点，增加收入及费用经费</w:t>
      </w:r>
      <w:r>
        <w:rPr>
          <w:rFonts w:hint="eastAsia" w:ascii="仿宋_GB2312" w:hAnsi="ˎ̥" w:eastAsia="仿宋_GB2312"/>
          <w:color w:val="000000" w:themeColor="text1"/>
          <w:sz w:val="32"/>
          <w:szCs w:val="32"/>
          <w14:textFill>
            <w14:solidFill>
              <w14:schemeClr w14:val="tx1"/>
            </w14:solidFill>
          </w14:textFill>
        </w:rPr>
        <w:t>；二是</w:t>
      </w:r>
      <w:r>
        <w:rPr>
          <w:rFonts w:hint="eastAsia" w:ascii="仿宋_GB2312" w:hAnsi="ˎ̥" w:eastAsia="仿宋_GB2312"/>
          <w:color w:val="000000" w:themeColor="text1"/>
          <w:sz w:val="32"/>
          <w:szCs w:val="32"/>
          <w:lang w:eastAsia="zh-CN"/>
          <w14:textFill>
            <w14:solidFill>
              <w14:schemeClr w14:val="tx1"/>
            </w14:solidFill>
          </w14:textFill>
        </w:rPr>
        <w:t>增加人员编制，人员支出（工资、社保）会增加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财政拨款年初结转结余</w:t>
      </w:r>
      <w:r>
        <w:rPr>
          <w:rFonts w:hint="default" w:ascii="仿宋_GB2312" w:hAnsi="ˎ̥" w:eastAsia="仿宋_GB2312"/>
          <w:color w:val="000000" w:themeColor="text1"/>
          <w:sz w:val="32"/>
          <w:szCs w:val="32"/>
          <w:lang w:val="en-US"/>
          <w14:textFill>
            <w14:solidFill>
              <w14:schemeClr w14:val="tx1"/>
            </w14:solidFill>
          </w14:textFill>
        </w:rPr>
        <w:t>1.53</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本次核算的年初结转资金，其资金来源明确为</w:t>
      </w:r>
      <w:r>
        <w:rPr>
          <w:rFonts w:hint="eastAsia" w:ascii="仿宋_GB2312" w:hAnsi="ˎ̥" w:eastAsia="仿宋_GB2312"/>
          <w:color w:val="000000" w:themeColor="text1"/>
          <w:sz w:val="32"/>
          <w:szCs w:val="32"/>
          <w:lang w:val="en-US" w:eastAsia="zh-CN"/>
          <w14:textFill>
            <w14:solidFill>
              <w14:schemeClr w14:val="tx1"/>
            </w14:solidFill>
          </w14:textFill>
        </w:rPr>
        <w:t>2024年第四季工会经费，主要用于承担上年度工会未完成结算的第四季费用</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年度决算数减少</w:t>
      </w:r>
      <w:r>
        <w:rPr>
          <w:rFonts w:hint="eastAsia" w:ascii="仿宋_GB2312" w:hAnsi="ˎ̥" w:eastAsia="仿宋_GB2312"/>
          <w:color w:val="000000" w:themeColor="text1"/>
          <w:sz w:val="32"/>
          <w:szCs w:val="32"/>
          <w:lang w:val="en-US" w:eastAsia="zh-CN"/>
          <w14:textFill>
            <w14:solidFill>
              <w14:schemeClr w14:val="tx1"/>
            </w14:solidFill>
          </w14:textFill>
        </w:rPr>
        <w:t>213.3</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99.2</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财务对年初结转结余资金属性存在误解，误将其认作年底盘活资金，导致核算口径差异，进而形成该数据变化</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财政拨款年末结转结余</w:t>
      </w:r>
      <w:r>
        <w:rPr>
          <w:rFonts w:hint="eastAsia" w:ascii="仿宋_GB2312" w:hAnsi="ˎ̥" w:eastAsia="仿宋_GB2312"/>
          <w:color w:val="000000" w:themeColor="text1"/>
          <w:sz w:val="32"/>
          <w:szCs w:val="32"/>
          <w:lang w:val="en-US" w:eastAsia="zh-CN"/>
          <w14:textFill>
            <w14:solidFill>
              <w14:schemeClr w14:val="tx1"/>
            </w14:solidFill>
          </w14:textFill>
        </w:rPr>
        <w:t>1.53</w:t>
      </w:r>
      <w:r>
        <w:rPr>
          <w:rFonts w:hint="eastAsia" w:ascii="仿宋_GB2312" w:hAnsi="ˎ̥" w:eastAsia="仿宋_GB2312"/>
          <w:color w:val="000000" w:themeColor="text1"/>
          <w:sz w:val="32"/>
          <w:szCs w:val="32"/>
          <w14:textFill>
            <w14:solidFill>
              <w14:schemeClr w14:val="tx1"/>
            </w14:solidFill>
          </w14:textFill>
        </w:rPr>
        <w:t>万元，主要是</w:t>
      </w:r>
      <w:r>
        <w:rPr>
          <w:rFonts w:hint="eastAsia" w:ascii="仿宋_GB2312" w:hAnsi="ˎ̥" w:eastAsia="仿宋_GB2312"/>
          <w:color w:val="000000" w:themeColor="text1"/>
          <w:sz w:val="32"/>
          <w:szCs w:val="32"/>
          <w:lang w:eastAsia="zh-CN"/>
          <w14:textFill>
            <w14:solidFill>
              <w14:schemeClr w14:val="tx1"/>
            </w14:solidFill>
          </w14:textFill>
        </w:rPr>
        <w:t>本次核算的年初结转资金，其资金来源明确为</w:t>
      </w:r>
      <w:r>
        <w:rPr>
          <w:rFonts w:hint="eastAsia" w:ascii="仿宋_GB2312" w:hAnsi="ˎ̥" w:eastAsia="仿宋_GB2312"/>
          <w:color w:val="000000" w:themeColor="text1"/>
          <w:sz w:val="32"/>
          <w:szCs w:val="32"/>
          <w:lang w:val="en-US" w:eastAsia="zh-CN"/>
          <w14:textFill>
            <w14:solidFill>
              <w14:schemeClr w14:val="tx1"/>
            </w14:solidFill>
          </w14:textFill>
        </w:rPr>
        <w:t>2024年第四季工会经费，主要用于承担上年度工会未完成结算的第四季费用</w:t>
      </w:r>
      <w:r>
        <w:rPr>
          <w:rFonts w:hint="eastAsia" w:ascii="仿宋_GB2312" w:hAnsi="ˎ̥" w:eastAsia="仿宋_GB2312"/>
          <w:color w:val="000000" w:themeColor="text1"/>
          <w:sz w:val="32"/>
          <w:szCs w:val="32"/>
          <w14:textFill>
            <w14:solidFill>
              <w14:schemeClr w14:val="tx1"/>
            </w14:solidFill>
          </w14:textFill>
        </w:rPr>
        <w:t>，较</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年度决算数减少</w:t>
      </w:r>
      <w:r>
        <w:rPr>
          <w:rFonts w:hint="eastAsia" w:ascii="仿宋_GB2312" w:hAnsi="ˎ̥" w:eastAsia="仿宋_GB2312"/>
          <w:color w:val="000000" w:themeColor="text1"/>
          <w:sz w:val="32"/>
          <w:szCs w:val="32"/>
          <w:lang w:val="en-US" w:eastAsia="zh-CN"/>
          <w14:textFill>
            <w14:solidFill>
              <w14:schemeClr w14:val="tx1"/>
            </w14:solidFill>
          </w14:textFill>
        </w:rPr>
        <w:t>213.3</w:t>
      </w:r>
      <w:r>
        <w:rPr>
          <w:rFonts w:hint="eastAsia" w:ascii="仿宋_GB2312" w:hAnsi="ˎ̥" w:eastAsia="仿宋_GB2312"/>
          <w:color w:val="000000" w:themeColor="text1"/>
          <w:sz w:val="32"/>
          <w:szCs w:val="32"/>
          <w14:textFill>
            <w14:solidFill>
              <w14:schemeClr w14:val="tx1"/>
            </w14:solidFill>
          </w14:textFill>
        </w:rPr>
        <w:t>万元，下降</w:t>
      </w:r>
      <w:r>
        <w:rPr>
          <w:rFonts w:hint="eastAsia" w:ascii="仿宋_GB2312" w:hAnsi="ˎ̥" w:eastAsia="仿宋_GB2312"/>
          <w:color w:val="000000" w:themeColor="text1"/>
          <w:sz w:val="32"/>
          <w:szCs w:val="32"/>
          <w:lang w:val="en-US" w:eastAsia="zh-CN"/>
          <w14:textFill>
            <w14:solidFill>
              <w14:schemeClr w14:val="tx1"/>
            </w14:solidFill>
          </w14:textFill>
        </w:rPr>
        <w:t>99.2</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财务对年初结转结余资金属性存在误解，误将其认作年底盘活资金，导致核算口径差异，进而形成该数据变化</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年度决算相关数据可取自财决公开04表。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年度决算相关数据可取自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年度部门决算报表财决01-1表《财政拨款收入支出决算总表》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五、一般公共预算财政拨款支出决算情况说明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81" w:name="_Toc17398_WPSOffice_Level2"/>
      <w:bookmarkStart w:id="82" w:name="_Toc21737_WPSOffice_Level2"/>
      <w:bookmarkStart w:id="83" w:name="_Toc19665_WPSOffice_Level2"/>
      <w:bookmarkStart w:id="84" w:name="_Toc23005_WPSOffice_Level2"/>
      <w:bookmarkStart w:id="85" w:name="_Toc9989_WPSOffice_Level2"/>
      <w:bookmarkStart w:id="86" w:name="_Toc13694_WPSOffice_Level2"/>
      <w:r>
        <w:rPr>
          <w:rFonts w:hint="eastAsia" w:ascii="楷体" w:hAnsi="楷体" w:eastAsia="楷体" w:cs="楷体"/>
          <w:color w:val="000000" w:themeColor="text1"/>
          <w:sz w:val="32"/>
          <w:szCs w:val="32"/>
          <w14:textFill>
            <w14:solidFill>
              <w14:schemeClr w14:val="tx1"/>
            </w14:solidFill>
          </w14:textFill>
        </w:rPr>
        <w:t>（一）一般公共预算财政拨款支出决算总体情况</w:t>
      </w:r>
      <w:bookmarkEnd w:id="81"/>
      <w:bookmarkEnd w:id="82"/>
      <w:bookmarkEnd w:id="83"/>
      <w:bookmarkEnd w:id="84"/>
      <w:bookmarkEnd w:id="85"/>
      <w:bookmarkEnd w:id="86"/>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1,162.05</w:t>
      </w:r>
      <w:r>
        <w:rPr>
          <w:rFonts w:hint="eastAsia" w:ascii="仿宋_GB2312" w:hAnsi="ˎ̥" w:eastAsia="仿宋_GB2312"/>
          <w:color w:val="000000" w:themeColor="text1"/>
          <w:sz w:val="32"/>
          <w:szCs w:val="32"/>
          <w14:textFill>
            <w14:solidFill>
              <w14:schemeClr w14:val="tx1"/>
            </w14:solidFill>
          </w14:textFill>
        </w:rPr>
        <w:t>万元，占本年支出合计的</w:t>
      </w:r>
      <w:r>
        <w:rPr>
          <w:rFonts w:hint="eastAsia" w:ascii="仿宋_GB2312" w:hAnsi="ˎ̥" w:eastAsia="仿宋_GB2312"/>
          <w:color w:val="000000" w:themeColor="text1"/>
          <w:sz w:val="32"/>
          <w:szCs w:val="32"/>
          <w:lang w:val="en-US" w:eastAsia="zh-CN"/>
          <w14:textFill>
            <w14:solidFill>
              <w14:schemeClr w14:val="tx1"/>
            </w14:solidFill>
          </w14:textFill>
        </w:rPr>
        <w:t>98.3</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年度相比，一般公共预算财政拨款支出增加</w:t>
      </w:r>
      <w:r>
        <w:rPr>
          <w:rFonts w:hint="eastAsia" w:ascii="仿宋_GB2312" w:hAnsi="ˎ̥" w:eastAsia="仿宋_GB2312"/>
          <w:color w:val="000000" w:themeColor="text1"/>
          <w:sz w:val="32"/>
          <w:szCs w:val="32"/>
          <w:lang w:val="en-US" w:eastAsia="zh-CN"/>
          <w14:textFill>
            <w14:solidFill>
              <w14:schemeClr w14:val="tx1"/>
            </w14:solidFill>
          </w14:textFill>
        </w:rPr>
        <w:t>84.98</w:t>
      </w:r>
      <w:r>
        <w:rPr>
          <w:rFonts w:hint="eastAsia" w:ascii="仿宋_GB2312" w:hAnsi="ˎ̥" w:eastAsia="仿宋_GB2312"/>
          <w:color w:val="000000" w:themeColor="text1"/>
          <w:sz w:val="32"/>
          <w:szCs w:val="32"/>
          <w14:textFill>
            <w14:solidFill>
              <w14:schemeClr w14:val="tx1"/>
            </w14:solidFill>
          </w14:textFill>
        </w:rPr>
        <w:t>万元，增长</w:t>
      </w:r>
      <w:r>
        <w:rPr>
          <w:rFonts w:hint="eastAsia" w:ascii="仿宋_GB2312" w:hAnsi="ˎ̥" w:eastAsia="仿宋_GB2312"/>
          <w:color w:val="000000" w:themeColor="text1"/>
          <w:sz w:val="32"/>
          <w:szCs w:val="32"/>
          <w:lang w:val="en-US" w:eastAsia="zh-CN"/>
          <w14:textFill>
            <w14:solidFill>
              <w14:schemeClr w14:val="tx1"/>
            </w14:solidFill>
          </w14:textFill>
        </w:rPr>
        <w:t>7.3</w:t>
      </w:r>
      <w:r>
        <w:rPr>
          <w:rFonts w:hint="eastAsia" w:ascii="仿宋_GB2312" w:hAnsi="ˎ̥" w:eastAsia="仿宋_GB2312"/>
          <w:color w:val="000000" w:themeColor="text1"/>
          <w:sz w:val="32"/>
          <w:szCs w:val="32"/>
          <w14:textFill>
            <w14:solidFill>
              <w14:schemeClr w14:val="tx1"/>
            </w14:solidFill>
          </w14:textFill>
        </w:rPr>
        <w:t>%，一是</w:t>
      </w:r>
      <w:r>
        <w:rPr>
          <w:rFonts w:hint="eastAsia" w:ascii="仿宋_GB2312" w:hAnsi="ˎ̥" w:eastAsia="仿宋_GB2312"/>
          <w:color w:val="000000" w:themeColor="text1"/>
          <w:sz w:val="32"/>
          <w:szCs w:val="32"/>
          <w:lang w:eastAsia="zh-CN"/>
          <w14:textFill>
            <w14:solidFill>
              <w14:schemeClr w14:val="tx1"/>
            </w14:solidFill>
          </w14:textFill>
        </w:rPr>
        <w:t>设立基层立法联系点，增加收入及费用经费</w:t>
      </w:r>
      <w:r>
        <w:rPr>
          <w:rFonts w:hint="eastAsia" w:ascii="仿宋_GB2312" w:hAnsi="ˎ̥" w:eastAsia="仿宋_GB2312"/>
          <w:color w:val="000000" w:themeColor="text1"/>
          <w:sz w:val="32"/>
          <w:szCs w:val="32"/>
          <w14:textFill>
            <w14:solidFill>
              <w14:schemeClr w14:val="tx1"/>
            </w14:solidFill>
          </w14:textFill>
        </w:rPr>
        <w:t>；二是</w:t>
      </w:r>
      <w:r>
        <w:rPr>
          <w:rFonts w:hint="eastAsia" w:ascii="仿宋_GB2312" w:hAnsi="ˎ̥" w:eastAsia="仿宋_GB2312"/>
          <w:color w:val="000000" w:themeColor="text1"/>
          <w:sz w:val="32"/>
          <w:szCs w:val="32"/>
          <w:lang w:eastAsia="zh-CN"/>
          <w14:textFill>
            <w14:solidFill>
              <w14:schemeClr w14:val="tx1"/>
            </w14:solidFill>
          </w14:textFill>
        </w:rPr>
        <w:t>增加人员编制，人员支出（工资、社保）会增加</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87" w:name="_Toc27767_WPSOffice_Level2"/>
      <w:bookmarkStart w:id="88" w:name="_Toc2711_WPSOffice_Level2"/>
      <w:bookmarkStart w:id="89" w:name="_Toc18793_WPSOffice_Level2"/>
      <w:bookmarkStart w:id="90" w:name="_Toc19535_WPSOffice_Level2"/>
      <w:bookmarkStart w:id="91" w:name="_Toc23864_WPSOffice_Level2"/>
      <w:bookmarkStart w:id="92" w:name="_Toc19075_WPSOffice_Level2"/>
      <w:r>
        <w:rPr>
          <w:rFonts w:hint="eastAsia" w:ascii="楷体" w:hAnsi="楷体" w:eastAsia="楷体" w:cs="楷体"/>
          <w:color w:val="000000" w:themeColor="text1"/>
          <w:sz w:val="32"/>
          <w:szCs w:val="32"/>
          <w14:textFill>
            <w14:solidFill>
              <w14:schemeClr w14:val="tx1"/>
            </w14:solidFill>
          </w14:textFill>
        </w:rPr>
        <w:t>（二）一般公共预算财政拨款支出决算结构情况</w:t>
      </w:r>
      <w:bookmarkEnd w:id="87"/>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w:t>
      </w:r>
      <w:r>
        <w:rPr>
          <w:rFonts w:hint="default" w:ascii="仿宋_GB2312" w:hAnsi="ˎ̥" w:eastAsia="仿宋_GB2312"/>
          <w:color w:val="000000" w:themeColor="text1"/>
          <w:sz w:val="32"/>
          <w:szCs w:val="32"/>
          <w:lang w:val="en-US"/>
          <w14:textFill>
            <w14:solidFill>
              <w14:schemeClr w14:val="tx1"/>
            </w14:solidFill>
          </w14:textFill>
        </w:rPr>
        <w:t>1,162.05</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b/>
          <w:color w:val="000000" w:themeColor="text1"/>
          <w:sz w:val="32"/>
          <w:szCs w:val="32"/>
          <w14:textFill>
            <w14:solidFill>
              <w14:schemeClr w14:val="tx1"/>
            </w14:solidFill>
          </w14:textFill>
        </w:rPr>
        <w:t>一般公共服务（类）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931.93</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80.2</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社会保障和就业（类）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103.5</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8.9</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bCs/>
          <w:color w:val="000000" w:themeColor="text1"/>
          <w:sz w:val="32"/>
          <w:szCs w:val="32"/>
          <w14:textFill>
            <w14:solidFill>
              <w14:schemeClr w14:val="tx1"/>
            </w14:solidFill>
          </w14:textFill>
        </w:rPr>
        <w:t>住房保障（类）</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64.74</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5.6</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b/>
          <w:color w:val="000000" w:themeColor="text1"/>
          <w:sz w:val="32"/>
          <w:szCs w:val="32"/>
          <w14:textFill>
            <w14:solidFill>
              <w14:schemeClr w14:val="tx1"/>
            </w14:solidFill>
          </w14:textFill>
        </w:rPr>
        <w:t>卫生健康</w:t>
      </w:r>
      <w:r>
        <w:rPr>
          <w:rFonts w:hint="eastAsia" w:ascii="仿宋_GB2312" w:hAnsi="ˎ̥" w:eastAsia="仿宋_GB2312"/>
          <w:b/>
          <w:color w:val="000000" w:themeColor="text1"/>
          <w:sz w:val="32"/>
          <w:szCs w:val="32"/>
          <w:lang w:eastAsia="zh-CN"/>
          <w14:textFill>
            <w14:solidFill>
              <w14:schemeClr w14:val="tx1"/>
            </w14:solidFill>
          </w14:textFill>
        </w:rPr>
        <w:t>（类）</w:t>
      </w:r>
      <w:r>
        <w:rPr>
          <w:rFonts w:hint="eastAsia" w:ascii="仿宋_GB2312" w:hAnsi="ˎ̥" w:eastAsia="仿宋_GB2312"/>
          <w:color w:val="000000" w:themeColor="text1"/>
          <w:sz w:val="32"/>
          <w:szCs w:val="32"/>
          <w:lang w:val="en-US" w:eastAsia="zh-CN"/>
          <w14:textFill>
            <w14:solidFill>
              <w14:schemeClr w14:val="tx1"/>
            </w14:solidFill>
          </w14:textFill>
        </w:rPr>
        <w:t>支出61.88万元，占5.3%</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单位实际支出涉及的支出功能分类类级科目填列</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bookmarkStart w:id="93" w:name="_Toc25136_WPSOffice_Level2"/>
      <w:bookmarkStart w:id="94" w:name="_Toc29364_WPSOffice_Level2"/>
      <w:bookmarkStart w:id="95" w:name="_Toc15415_WPSOffice_Level2"/>
      <w:bookmarkStart w:id="96" w:name="_Toc21701_WPSOffice_Level2"/>
      <w:bookmarkStart w:id="97" w:name="_Toc22318_WPSOffice_Level2"/>
      <w:bookmarkStart w:id="98" w:name="_Toc9502_WPSOffice_Level2"/>
      <w:r>
        <w:rPr>
          <w:rFonts w:hint="eastAsia" w:ascii="楷体" w:hAnsi="楷体" w:eastAsia="楷体" w:cs="楷体"/>
          <w:color w:val="000000" w:themeColor="text1"/>
          <w:sz w:val="32"/>
          <w:szCs w:val="32"/>
          <w14:textFill>
            <w14:solidFill>
              <w14:schemeClr w14:val="tx1"/>
            </w14:solidFill>
          </w14:textFill>
        </w:rPr>
        <w:t>（三）一般公共预算财政拨款支出决算具体情况</w:t>
      </w:r>
      <w:bookmarkEnd w:id="93"/>
      <w:bookmarkEnd w:id="94"/>
      <w:bookmarkEnd w:id="95"/>
      <w:bookmarkEnd w:id="96"/>
      <w:bookmarkEnd w:id="97"/>
      <w:bookmarkEnd w:id="98"/>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年度一般公共预算财政拨款支出年初预算为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1162.05</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1,162.05</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%。其中：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b/>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1.</w:t>
      </w:r>
      <w:r>
        <w:rPr>
          <w:rFonts w:hint="eastAsia" w:ascii="仿宋_GB2312" w:hAnsi="ˎ̥" w:eastAsia="仿宋_GB2312"/>
          <w:b/>
          <w:color w:val="000000" w:themeColor="text1"/>
          <w:sz w:val="32"/>
          <w:szCs w:val="32"/>
          <w14:textFill>
            <w14:solidFill>
              <w14:schemeClr w14:val="tx1"/>
            </w14:solidFill>
          </w14:textFill>
        </w:rPr>
        <w:t>一般公共服务（类）人大事务（款）行政运行（项）。</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年初预算为</w:t>
      </w:r>
      <w:r>
        <w:rPr>
          <w:rFonts w:hint="eastAsia" w:ascii="仿宋_GB2312" w:hAnsi="ˎ̥" w:eastAsia="仿宋_GB2312"/>
          <w:color w:val="000000" w:themeColor="text1"/>
          <w:sz w:val="32"/>
          <w:szCs w:val="32"/>
          <w:lang w:val="en-US" w:eastAsia="zh-CN"/>
          <w14:textFill>
            <w14:solidFill>
              <w14:schemeClr w14:val="tx1"/>
            </w14:solidFill>
          </w14:textFill>
        </w:rPr>
        <w:t>1182.05</w:t>
      </w:r>
      <w:r>
        <w:rPr>
          <w:rFonts w:hint="eastAsia" w:ascii="仿宋_GB2312" w:hAnsi="ˎ̥" w:eastAsia="仿宋_GB2312"/>
          <w:color w:val="000000" w:themeColor="text1"/>
          <w:sz w:val="32"/>
          <w:szCs w:val="32"/>
          <w14:textFill>
            <w14:solidFill>
              <w14:schemeClr w14:val="tx1"/>
            </w14:solidFill>
          </w14:textFill>
        </w:rPr>
        <w:t>万元，支出决算为</w:t>
      </w:r>
      <w:r>
        <w:rPr>
          <w:rFonts w:hint="eastAsia" w:ascii="仿宋_GB2312" w:hAnsi="ˎ̥" w:eastAsia="仿宋_GB2312"/>
          <w:color w:val="000000" w:themeColor="text1"/>
          <w:sz w:val="32"/>
          <w:szCs w:val="32"/>
          <w:lang w:val="en-US" w:eastAsia="zh-CN"/>
          <w14:textFill>
            <w14:solidFill>
              <w14:schemeClr w14:val="tx1"/>
            </w14:solidFill>
          </w14:textFill>
        </w:rPr>
        <w:t>1162.05</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98.4</w:t>
      </w:r>
      <w:r>
        <w:rPr>
          <w:rFonts w:hint="eastAsia" w:ascii="仿宋_GB2312" w:hAnsi="ˎ̥" w:eastAsia="仿宋_GB2312"/>
          <w:color w:val="000000" w:themeColor="text1"/>
          <w:sz w:val="32"/>
          <w:szCs w:val="32"/>
          <w14:textFill>
            <w14:solidFill>
              <w14:schemeClr w14:val="tx1"/>
            </w14:solidFill>
          </w14:textFill>
        </w:rPr>
        <w:t>%。决算数大于（小于）预算数的主要原因：</w:t>
      </w:r>
      <w:r>
        <w:rPr>
          <w:rFonts w:hint="eastAsia" w:ascii="仿宋_GB2312" w:hAnsi="ˎ̥" w:eastAsia="仿宋_GB2312"/>
          <w:color w:val="000000" w:themeColor="text1"/>
          <w:sz w:val="32"/>
          <w:szCs w:val="32"/>
          <w:lang w:eastAsia="zh-CN"/>
          <w14:textFill>
            <w14:solidFill>
              <w14:schemeClr w14:val="tx1"/>
            </w14:solidFill>
          </w14:textFill>
        </w:rPr>
        <w:t>因剩余的百分之</w:t>
      </w:r>
      <w:r>
        <w:rPr>
          <w:rFonts w:hint="eastAsia" w:ascii="仿宋_GB2312" w:hAnsi="ˎ̥" w:eastAsia="仿宋_GB2312"/>
          <w:color w:val="000000" w:themeColor="text1"/>
          <w:sz w:val="32"/>
          <w:szCs w:val="32"/>
          <w:lang w:val="en-US" w:eastAsia="zh-CN"/>
          <w14:textFill>
            <w14:solidFill>
              <w14:schemeClr w14:val="tx1"/>
            </w14:solidFill>
          </w14:textFill>
        </w:rPr>
        <w:t>1.7的资金为其他资金（援藏三交活动经费）</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本部分支出决算数可取自财决公开05表，年初预算数可取自各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单位年初预算大本，根据实际支出涉及的支出功能分类项级科目填列</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六、一般公共预算财政拨款基本支出决算情况说明</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年度财政拨款基本支出</w:t>
      </w:r>
      <w:r>
        <w:rPr>
          <w:rFonts w:hint="eastAsia" w:ascii="仿宋_GB2312" w:hAnsi="ˎ̥" w:eastAsia="仿宋_GB2312"/>
          <w:color w:val="000000" w:themeColor="text1"/>
          <w:sz w:val="32"/>
          <w:szCs w:val="32"/>
          <w:lang w:val="en-US" w:eastAsia="zh-CN"/>
          <w14:textFill>
            <w14:solidFill>
              <w14:schemeClr w14:val="tx1"/>
            </w14:solidFill>
          </w14:textFill>
        </w:rPr>
        <w:t>997.05</w:t>
      </w:r>
      <w:r>
        <w:rPr>
          <w:rFonts w:hint="eastAsia" w:ascii="仿宋_GB2312" w:hAnsi="ˎ̥" w:eastAsia="仿宋_GB2312"/>
          <w:color w:val="000000" w:themeColor="text1"/>
          <w:sz w:val="32"/>
          <w:szCs w:val="32"/>
          <w14:textFill>
            <w14:solidFill>
              <w14:schemeClr w14:val="tx1"/>
            </w14:solidFill>
          </w14:textFill>
        </w:rPr>
        <w:t>万元，其中：人员经费</w:t>
      </w:r>
      <w:r>
        <w:rPr>
          <w:rFonts w:ascii="仿宋_GB2312" w:hAnsi="ˎ̥" w:eastAsia="仿宋_GB2312"/>
          <w:color w:val="000000" w:themeColor="text1"/>
          <w:sz w:val="32"/>
          <w:szCs w:val="32"/>
          <w:lang w:val="en-US"/>
          <w14:textFill>
            <w14:solidFill>
              <w14:schemeClr w14:val="tx1"/>
            </w14:solidFill>
          </w14:textFill>
        </w:rPr>
        <w:t>953.18</w:t>
      </w:r>
      <w:r>
        <w:rPr>
          <w:rFonts w:hint="eastAsia" w:ascii="仿宋_GB2312" w:hAnsi="ˎ̥" w:eastAsia="仿宋_GB2312"/>
          <w:color w:val="000000" w:themeColor="text1"/>
          <w:sz w:val="32"/>
          <w:szCs w:val="32"/>
          <w14:textFill>
            <w14:solidFill>
              <w14:schemeClr w14:val="tx1"/>
            </w14:solidFill>
          </w14:textFill>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ascii="仿宋_GB2312" w:hAnsi="ˎ̥" w:eastAsia="仿宋_GB2312"/>
          <w:color w:val="000000" w:themeColor="text1"/>
          <w:sz w:val="32"/>
          <w:szCs w:val="32"/>
          <w:lang w:val="en-US"/>
          <w14:textFill>
            <w14:solidFill>
              <w14:schemeClr w14:val="tx1"/>
            </w14:solidFill>
          </w14:textFill>
        </w:rPr>
        <w:t>43.87</w:t>
      </w:r>
      <w:r>
        <w:rPr>
          <w:rFonts w:hint="eastAsia" w:ascii="仿宋_GB2312" w:hAnsi="ˎ̥" w:eastAsia="仿宋_GB2312"/>
          <w:color w:val="000000" w:themeColor="text1"/>
          <w:sz w:val="32"/>
          <w:szCs w:val="32"/>
          <w14:textFill>
            <w14:solidFill>
              <w14:schemeClr w14:val="tx1"/>
            </w14:solidFill>
          </w14:textFill>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_GB2312" w:hAnsi="ˎ̥" w:eastAsia="仿宋_GB2312"/>
          <w:color w:val="000000" w:themeColor="text1"/>
          <w:sz w:val="32"/>
          <w:szCs w:val="32"/>
          <w:lang w:val="en-US" w:eastAsia="zh-CN"/>
          <w14:textFill>
            <w14:solidFill>
              <w14:schemeClr w14:val="tx1"/>
            </w14:solidFill>
          </w14:textFill>
        </w:rPr>
        <w:t>购</w:t>
      </w:r>
      <w:r>
        <w:rPr>
          <w:rFonts w:hint="eastAsia" w:ascii="仿宋_GB2312" w:hAnsi="ˎ̥" w:eastAsia="仿宋_GB2312"/>
          <w:color w:val="000000" w:themeColor="text1"/>
          <w:sz w:val="32"/>
          <w:szCs w:val="32"/>
          <w14:textFill>
            <w14:solidFill>
              <w14:schemeClr w14:val="tx1"/>
            </w14:solidFill>
          </w14:textFill>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w:t>
      </w:r>
      <w:r>
        <w:rPr>
          <w:rFonts w:hint="eastAsia" w:ascii="仿宋_GB2312" w:hAnsi="ˎ̥" w:eastAsia="仿宋_GB2312"/>
          <w:color w:val="000000" w:themeColor="text1"/>
          <w:sz w:val="32"/>
          <w:szCs w:val="32"/>
          <w:lang w:val="en-US" w:eastAsia="zh-CN"/>
          <w14:textFill>
            <w14:solidFill>
              <w14:schemeClr w14:val="tx1"/>
            </w14:solidFill>
          </w14:textFill>
        </w:rPr>
        <w:t>数据</w:t>
      </w:r>
      <w:r>
        <w:rPr>
          <w:rFonts w:hint="eastAsia" w:ascii="仿宋_GB2312" w:hAnsi="ˎ̥" w:eastAsia="仿宋_GB2312"/>
          <w:color w:val="000000" w:themeColor="text1"/>
          <w:sz w:val="32"/>
          <w:szCs w:val="32"/>
          <w14:textFill>
            <w14:solidFill>
              <w14:schemeClr w14:val="tx1"/>
            </w14:solidFill>
          </w14:textFill>
        </w:rPr>
        <w:t>可取自财决公开06表，各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单位根据实际支出情况，选列相应支出经济分类。）</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七、政府性基金预算财政拨款支出决算情况说明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（一）政府性基金预算财政拨款支出决算总体情况</w:t>
      </w:r>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万元，主要原因是无政府性基金预算资金。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（二）政府性基金预算财政拨款支出决算结构情况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万元，主要用于以下方面：</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（类）支出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单位实际支出涉及的支出功能分类类级科目填列</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（三）政府性基金预算财政拨款支出决算具体情况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年度政府性基金预算财政拨款支出年初预算为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%。其中：</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单位实际支出涉及的支出功能分类项级科目填列，本部分</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w:t>
      </w:r>
      <w:r>
        <w:rPr>
          <w:rFonts w:hint="eastAsia" w:ascii="仿宋_GB2312" w:hAnsi="ˎ̥" w:eastAsia="仿宋_GB2312"/>
          <w:color w:val="000000" w:themeColor="text1"/>
          <w:sz w:val="32"/>
          <w:szCs w:val="32"/>
          <w:lang w:val="en-US" w:eastAsia="zh-CN"/>
          <w14:textFill>
            <w14:solidFill>
              <w14:schemeClr w14:val="tx1"/>
            </w14:solidFill>
          </w14:textFill>
        </w:rPr>
        <w:t>度</w:t>
      </w:r>
      <w:r>
        <w:rPr>
          <w:rFonts w:hint="eastAsia" w:ascii="仿宋_GB2312" w:hAnsi="ˎ̥" w:eastAsia="仿宋_GB2312"/>
          <w:color w:val="000000" w:themeColor="text1"/>
          <w:sz w:val="32"/>
          <w:szCs w:val="32"/>
          <w14:textFill>
            <w14:solidFill>
              <w14:schemeClr w14:val="tx1"/>
            </w14:solidFill>
          </w14:textFill>
        </w:rPr>
        <w:t>决算相关数据取自财决公开07表；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w:t>
      </w:r>
      <w:r>
        <w:rPr>
          <w:rFonts w:hint="eastAsia" w:ascii="仿宋_GB2312" w:hAnsi="ˎ̥" w:eastAsia="仿宋_GB2312"/>
          <w:color w:val="000000" w:themeColor="text1"/>
          <w:sz w:val="32"/>
          <w:szCs w:val="32"/>
          <w:lang w:val="en-US" w:eastAsia="zh-CN"/>
          <w14:textFill>
            <w14:solidFill>
              <w14:schemeClr w14:val="tx1"/>
            </w14:solidFill>
          </w14:textFill>
        </w:rPr>
        <w:t>度</w:t>
      </w:r>
      <w:r>
        <w:rPr>
          <w:rFonts w:hint="eastAsia" w:ascii="仿宋_GB2312" w:hAnsi="ˎ̥" w:eastAsia="仿宋_GB2312"/>
          <w:color w:val="000000" w:themeColor="text1"/>
          <w:sz w:val="32"/>
          <w:szCs w:val="32"/>
          <w14:textFill>
            <w14:solidFill>
              <w14:schemeClr w14:val="tx1"/>
            </w14:solidFill>
          </w14:textFill>
        </w:rPr>
        <w:t>决算相关数据取自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lang w:val="en-US" w:eastAsia="zh-CN"/>
          <w14:textFill>
            <w14:solidFill>
              <w14:schemeClr w14:val="tx1"/>
            </w14:solidFill>
          </w14:textFill>
        </w:rPr>
        <w:t>年度部门决算报表</w:t>
      </w:r>
      <w:r>
        <w:rPr>
          <w:rFonts w:hint="eastAsia" w:ascii="仿宋_GB2312" w:hAnsi="ˎ̥" w:eastAsia="仿宋_GB2312"/>
          <w:color w:val="000000" w:themeColor="text1"/>
          <w:sz w:val="32"/>
          <w:szCs w:val="32"/>
          <w14:textFill>
            <w14:solidFill>
              <w14:schemeClr w14:val="tx1"/>
            </w14:solidFill>
          </w14:textFill>
        </w:rPr>
        <w:t>财决09表《政府性基金预算财政拨款收入支出决算表》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27" w:firstLineChars="196"/>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八、国有资本经营预算财政拨款支出决算情况说明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（一）国有资本经营预算财政拨款支出决算总体情况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万元，主要原因是</w:t>
      </w:r>
      <w:r>
        <w:rPr>
          <w:rFonts w:hint="eastAsia" w:ascii="仿宋_GB2312" w:hAnsi="ˎ̥" w:eastAsia="仿宋_GB2312"/>
          <w:color w:val="000000" w:themeColor="text1"/>
          <w:sz w:val="32"/>
          <w:szCs w:val="32"/>
          <w:lang w:eastAsia="zh-CN"/>
          <w14:textFill>
            <w14:solidFill>
              <w14:schemeClr w14:val="tx1"/>
            </w14:solidFill>
          </w14:textFill>
        </w:rPr>
        <w:t>无</w:t>
      </w:r>
      <w:r>
        <w:rPr>
          <w:rFonts w:hint="eastAsia" w:ascii="仿宋_GB2312" w:hAnsi="ˎ̥" w:eastAsia="仿宋_GB2312"/>
          <w:color w:val="000000" w:themeColor="text1"/>
          <w:sz w:val="32"/>
          <w:szCs w:val="32"/>
          <w14:textFill>
            <w14:solidFill>
              <w14:schemeClr w14:val="tx1"/>
            </w14:solidFill>
          </w14:textFill>
        </w:rPr>
        <w:t>国有资本经营预算财政拨款支出。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（二）国有资本经营预算财政拨款支出决算结构情况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单位实际支出涉及的支出功能分类类级科目填列</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（三）国有资本经营预算财政拨款支出决算具体情况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年度国有资本经营预算财政拨款支出年初预算为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万元，支出决算为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万元，完成年初预算的</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tabs>
          <w:tab w:val="center" w:pos="4473"/>
        </w:tabs>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根据各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单位实际支出涉及的支出功能分类项级科目填列，本部分</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w:t>
      </w:r>
      <w:r>
        <w:rPr>
          <w:rFonts w:hint="eastAsia" w:ascii="仿宋_GB2312" w:hAnsi="ˎ̥" w:eastAsia="仿宋_GB2312"/>
          <w:color w:val="000000" w:themeColor="text1"/>
          <w:sz w:val="32"/>
          <w:szCs w:val="32"/>
          <w:lang w:val="en-US" w:eastAsia="zh-CN"/>
          <w14:textFill>
            <w14:solidFill>
              <w14:schemeClr w14:val="tx1"/>
            </w14:solidFill>
          </w14:textFill>
        </w:rPr>
        <w:t>度</w:t>
      </w:r>
      <w:r>
        <w:rPr>
          <w:rFonts w:hint="eastAsia" w:ascii="仿宋_GB2312" w:hAnsi="ˎ̥" w:eastAsia="仿宋_GB2312"/>
          <w:color w:val="000000" w:themeColor="text1"/>
          <w:sz w:val="32"/>
          <w:szCs w:val="32"/>
          <w14:textFill>
            <w14:solidFill>
              <w14:schemeClr w14:val="tx1"/>
            </w14:solidFill>
          </w14:textFill>
        </w:rPr>
        <w:t>决算相关数据取自财决公开08表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27" w:firstLineChars="196"/>
        <w:textAlignment w:val="auto"/>
        <w:rPr>
          <w:rFonts w:hint="eastAsia" w:ascii="仿宋_GB2312" w:hAnsi="ˎ̥" w:eastAsia="楷体_GB2312"/>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九、财政拨款“三公”经费支出决算情况说明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（一）财政拨款“三公”经费支出决算总体情况说明</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 xml:space="preserve">    </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年度财政拨款“三公”经费支出预算为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eastAsia="zh-CN"/>
          <w14:textFill>
            <w14:solidFill>
              <w14:schemeClr w14:val="tx1"/>
            </w14:solidFill>
          </w14:textFill>
        </w:rPr>
        <w:t>无三公经费</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 （二）财政拨款“三公”经费支出决算具体情况说明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年度财政拨款“三公”经费支出决算中，因公出国（境）费支出决算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%；公务用车购置及运行维护费支出决算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%；公务接待费支出决算</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万元，占</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%。具体情况如下：</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1.因公出国（境）费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因公出国（境）费支出决算</w:t>
      </w:r>
      <w:r>
        <w:rPr>
          <w:rFonts w:hint="eastAsia" w:ascii="仿宋_GB2312" w:hAnsi="ˎ̥" w:eastAsia="仿宋_GB2312"/>
          <w:color w:val="000000" w:themeColor="text1"/>
          <w:sz w:val="32"/>
          <w:szCs w:val="32"/>
          <w:lang w:val="en-US" w:eastAsia="zh-CN"/>
          <w14:textFill>
            <w14:solidFill>
              <w14:schemeClr w14:val="tx1"/>
            </w14:solidFill>
          </w14:textFill>
        </w:rPr>
        <w:t>数</w:t>
      </w:r>
      <w:r>
        <w:rPr>
          <w:rFonts w:hint="eastAsia" w:ascii="仿宋_GB2312" w:hAnsi="ˎ̥" w:eastAsia="仿宋_GB2312"/>
          <w:color w:val="000000" w:themeColor="text1"/>
          <w:sz w:val="32"/>
          <w:szCs w:val="32"/>
          <w14:textFill>
            <w14:solidFill>
              <w14:schemeClr w14:val="tx1"/>
            </w14:solidFill>
          </w14:textFill>
        </w:rPr>
        <w:t>比预算数增加（减少）</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完成预算的0</w:t>
      </w:r>
      <w:r>
        <w:rPr>
          <w:rFonts w:hint="default" w:ascii="仿宋_GB2312" w:hAnsi="ˎ̥" w:eastAsia="仿宋_GB2312"/>
          <w:color w:val="000000" w:themeColor="text1"/>
          <w:sz w:val="32"/>
          <w:szCs w:val="32"/>
          <w:lang w:val="en-US"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。与</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相比，</w:t>
      </w:r>
      <w:r>
        <w:rPr>
          <w:rFonts w:hint="eastAsia" w:ascii="仿宋_GB2312" w:hAnsi="ˎ̥" w:eastAsia="仿宋_GB2312"/>
          <w:color w:val="000000" w:themeColor="text1"/>
          <w:sz w:val="32"/>
          <w:szCs w:val="32"/>
          <w14:textFill>
            <w14:solidFill>
              <w14:schemeClr w14:val="tx1"/>
            </w14:solidFill>
          </w14:textFill>
        </w:rPr>
        <w:t>因公出国（境）费支出增加</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减少</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ascii="仿宋_GB2312" w:hAnsi="ˎ̥" w:eastAsia="仿宋_GB2312"/>
          <w:color w:val="000000" w:themeColor="text1"/>
          <w:sz w:val="32"/>
          <w:szCs w:val="32"/>
          <w14:textFill>
            <w14:solidFill>
              <w14:schemeClr w14:val="tx1"/>
            </w14:solidFill>
          </w14:textFill>
        </w:rPr>
        <w:t>，增长（</w:t>
      </w:r>
      <w:r>
        <w:rPr>
          <w:rFonts w:hint="eastAsia" w:ascii="仿宋_GB2312" w:hAnsi="ˎ̥" w:eastAsia="仿宋_GB2312"/>
          <w:color w:val="000000" w:themeColor="text1"/>
          <w:sz w:val="32"/>
          <w:szCs w:val="32"/>
          <w14:textFill>
            <w14:solidFill>
              <w14:schemeClr w14:val="tx1"/>
            </w14:solidFill>
          </w14:textFill>
        </w:rPr>
        <w:t>下降</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2.公务用车购置及运行维护费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bCs/>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公务用车运行维护费</w:t>
      </w:r>
      <w:r>
        <w:rPr>
          <w:rFonts w:hint="eastAsia" w:ascii="仿宋_GB2312" w:hAnsi="ˎ̥" w:eastAsia="仿宋_GB2312"/>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 xml:space="preserve">    3.公务接待费</w:t>
      </w:r>
      <w:r>
        <w:rPr>
          <w:rFonts w:hint="eastAsia" w:ascii="仿宋_GB2312" w:hAnsi="ˎ̥" w:eastAsia="仿宋_GB2312"/>
          <w:b w:val="0"/>
          <w:bCs/>
          <w:color w:val="000000" w:themeColor="text1"/>
          <w:sz w:val="32"/>
          <w:szCs w:val="32"/>
          <w14:textFill>
            <w14:solidFill>
              <w14:schemeClr w14:val="tx1"/>
            </w14:solidFill>
          </w14:textFill>
        </w:rPr>
        <w:t>支出</w:t>
      </w:r>
      <w:r>
        <w:rPr>
          <w:rFonts w:hint="default" w:ascii="仿宋_GB2312" w:hAnsi="ˎ̥" w:eastAsia="仿宋_GB2312"/>
          <w:color w:val="000000" w:themeColor="text1"/>
          <w:sz w:val="32"/>
          <w:szCs w:val="32"/>
          <w:lang w:val="en-US"/>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万元，其中：</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color w:val="000000" w:themeColor="text1"/>
          <w:sz w:val="32"/>
          <w:szCs w:val="32"/>
          <w14:textFill>
            <w14:solidFill>
              <w14:schemeClr w14:val="tx1"/>
            </w14:solidFill>
          </w14:textFill>
        </w:rPr>
        <w:t>国内接待费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万元，国内公务接待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
          <w:bCs/>
          <w:color w:val="000000" w:themeColor="text1"/>
          <w:sz w:val="32"/>
          <w:szCs w:val="32"/>
          <w14:textFill>
            <w14:solidFill>
              <w14:schemeClr w14:val="tx1"/>
            </w14:solidFill>
          </w14:textFill>
        </w:rPr>
        <w:t>国（境）外接待费</w:t>
      </w:r>
      <w:r>
        <w:rPr>
          <w:rFonts w:hint="eastAsia" w:ascii="仿宋_GB2312" w:hAnsi="ˎ̥" w:eastAsia="仿宋_GB2312"/>
          <w:color w:val="000000" w:themeColor="text1"/>
          <w:sz w:val="32"/>
          <w:szCs w:val="32"/>
          <w14:textFill>
            <w14:solidFill>
              <w14:schemeClr w14:val="tx1"/>
            </w14:solidFill>
          </w14:textFill>
        </w:rPr>
        <w:t>支出</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万元，国（境）外公务接待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批次，接待</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人次。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年度“三公”经费预算数、决算数可取自财决公开09表，出国团组数、出国人次，公务用车购置数、公务用车保有量，接待团组数、接待人次可取自部门决算报表F03表《机构运行信息表》，</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年度相关</w:t>
      </w:r>
      <w:r>
        <w:rPr>
          <w:rFonts w:ascii="仿宋_GB2312" w:hAnsi="ˎ̥" w:eastAsia="仿宋_GB2312"/>
          <w:color w:val="000000" w:themeColor="text1"/>
          <w:sz w:val="32"/>
          <w:szCs w:val="32"/>
          <w14:textFill>
            <w14:solidFill>
              <w14:schemeClr w14:val="tx1"/>
            </w14:solidFill>
          </w14:textFill>
        </w:rPr>
        <w:t>数据</w:t>
      </w:r>
      <w:r>
        <w:rPr>
          <w:rFonts w:hint="eastAsia" w:ascii="仿宋_GB2312" w:hAnsi="ˎ̥" w:eastAsia="仿宋_GB2312"/>
          <w:color w:val="000000" w:themeColor="text1"/>
          <w:sz w:val="32"/>
          <w:szCs w:val="32"/>
          <w14:textFill>
            <w14:solidFill>
              <w14:schemeClr w14:val="tx1"/>
            </w14:solidFill>
          </w14:textFill>
        </w:rPr>
        <w:t>可取自</w:t>
      </w:r>
      <w:r>
        <w:rPr>
          <w:rFonts w:hint="default" w:ascii="仿宋_GB2312" w:hAnsi="ˎ̥" w:eastAsia="仿宋_GB2312"/>
          <w:color w:val="000000" w:themeColor="text1"/>
          <w:sz w:val="32"/>
          <w:szCs w:val="32"/>
          <w:lang w:val="en-US"/>
          <w14:textFill>
            <w14:solidFill>
              <w14:schemeClr w14:val="tx1"/>
            </w14:solidFill>
          </w14:textFill>
        </w:rPr>
        <w:t>2023</w:t>
      </w:r>
      <w:r>
        <w:rPr>
          <w:rFonts w:hint="eastAsia" w:ascii="仿宋_GB2312" w:hAnsi="ˎ̥" w:eastAsia="仿宋_GB2312"/>
          <w:color w:val="000000" w:themeColor="text1"/>
          <w:sz w:val="32"/>
          <w:szCs w:val="32"/>
          <w14:textFill>
            <w14:solidFill>
              <w14:schemeClr w14:val="tx1"/>
            </w14:solidFill>
          </w14:textFill>
        </w:rPr>
        <w:t>年度</w:t>
      </w:r>
      <w:r>
        <w:rPr>
          <w:rFonts w:ascii="仿宋_GB2312" w:hAnsi="ˎ̥" w:eastAsia="仿宋_GB2312"/>
          <w:color w:val="000000" w:themeColor="text1"/>
          <w:sz w:val="32"/>
          <w:szCs w:val="32"/>
          <w14:textFill>
            <w14:solidFill>
              <w14:schemeClr w14:val="tx1"/>
            </w14:solidFill>
          </w14:textFill>
        </w:rPr>
        <w:t>部门决算报表</w:t>
      </w:r>
      <w:r>
        <w:rPr>
          <w:rFonts w:hint="eastAsia" w:ascii="仿宋_GB2312" w:hAnsi="ˎ̥" w:eastAsia="仿宋_GB2312"/>
          <w:color w:val="000000" w:themeColor="text1"/>
          <w:sz w:val="32"/>
          <w:szCs w:val="32"/>
          <w14:textFill>
            <w14:solidFill>
              <w14:schemeClr w14:val="tx1"/>
            </w14:solidFill>
          </w14:textFill>
        </w:rPr>
        <w:t>F03表《机构</w:t>
      </w:r>
      <w:r>
        <w:rPr>
          <w:rFonts w:ascii="仿宋_GB2312" w:hAnsi="ˎ̥" w:eastAsia="仿宋_GB2312"/>
          <w:color w:val="000000" w:themeColor="text1"/>
          <w:sz w:val="32"/>
          <w:szCs w:val="32"/>
          <w14:textFill>
            <w14:solidFill>
              <w14:schemeClr w14:val="tx1"/>
            </w14:solidFill>
          </w14:textFill>
        </w:rPr>
        <w:t>运行信息表》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十、预算绩效情况说明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（一）绩效管理工作开展情况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根据财政预算绩效管理要求，可按照如下格式说明：根据预算管理要求，我部门（单位）组织对</w:t>
      </w:r>
      <w:r>
        <w:rPr>
          <w:rFonts w:hint="default" w:ascii="仿宋_GB2312" w:eastAsia="仿宋_GB2312"/>
          <w:color w:val="000000" w:themeColor="text1"/>
          <w:sz w:val="32"/>
          <w:szCs w:val="32"/>
          <w:lang w:val="en-US"/>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年度一般公共预算项目支出全面开展绩效自评</w:t>
      </w:r>
      <w:r>
        <w:rPr>
          <w:rFonts w:hint="default" w:ascii="仿宋_GB2312" w:eastAsia="仿宋_GB2312"/>
          <w:color w:val="000000" w:themeColor="text1"/>
          <w:sz w:val="32"/>
          <w:szCs w:val="32"/>
          <w:lang w:val="en-US"/>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其中；</w:t>
      </w:r>
      <w:r>
        <w:rPr>
          <w:rFonts w:hint="eastAsia" w:ascii="仿宋_GB2312" w:eastAsia="仿宋_GB2312"/>
          <w:color w:val="000000" w:themeColor="text1"/>
          <w:sz w:val="32"/>
          <w:szCs w:val="32"/>
          <w:lang w:bidi="ar"/>
          <w14:textFill>
            <w14:solidFill>
              <w14:schemeClr w14:val="tx1"/>
            </w14:solidFill>
          </w14:textFill>
        </w:rPr>
        <w:t>一级项</w:t>
      </w:r>
      <w:r>
        <w:rPr>
          <w:rFonts w:hint="eastAsia" w:ascii="仿宋_GB2312" w:eastAsia="仿宋_GB2312"/>
          <w:color w:val="000000" w:themeColor="text1"/>
          <w:sz w:val="32"/>
          <w:szCs w:val="32"/>
          <w14:textFill>
            <w14:solidFill>
              <w14:schemeClr w14:val="tx1"/>
            </w14:solidFill>
          </w14:textFill>
        </w:rPr>
        <w:t>目</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个</w:t>
      </w:r>
      <w:r>
        <w:rPr>
          <w:rFonts w:hint="eastAsia" w:ascii="仿宋_GB2312" w:eastAsia="仿宋_GB2312"/>
          <w:color w:val="000000" w:themeColor="text1"/>
          <w:sz w:val="32"/>
          <w:szCs w:val="32"/>
          <w:lang w:val="en-US" w:eastAsia="zh-CN"/>
          <w14:textFill>
            <w14:solidFill>
              <w14:schemeClr w14:val="tx1"/>
            </w14:solidFill>
          </w14:textFill>
        </w:rPr>
        <w:t>共涉及资金185万元，占一般公共预算项目支出总额的15.7%</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bidi="ar"/>
          <w14:textFill>
            <w14:solidFill>
              <w14:schemeClr w14:val="tx1"/>
            </w14:solidFill>
          </w14:textFill>
        </w:rPr>
        <w:t>组织对</w:t>
      </w:r>
      <w:r>
        <w:rPr>
          <w:rFonts w:hint="default" w:ascii="仿宋_GB2312" w:eastAsia="仿宋_GB2312"/>
          <w:color w:val="000000" w:themeColor="text1"/>
          <w:sz w:val="32"/>
          <w:szCs w:val="32"/>
          <w:lang w:val="en-US" w:bidi="ar"/>
          <w14:textFill>
            <w14:solidFill>
              <w14:schemeClr w14:val="tx1"/>
            </w14:solidFill>
          </w14:textFill>
        </w:rPr>
        <w:t>2024</w:t>
      </w:r>
      <w:r>
        <w:rPr>
          <w:rFonts w:hint="eastAsia" w:ascii="仿宋_GB2312" w:eastAsia="仿宋_GB2312"/>
          <w:color w:val="000000" w:themeColor="text1"/>
          <w:sz w:val="32"/>
          <w:szCs w:val="32"/>
          <w:lang w:bidi="ar"/>
          <w14:textFill>
            <w14:solidFill>
              <w14:schemeClr w14:val="tx1"/>
            </w14:solidFill>
          </w14:textFill>
        </w:rPr>
        <w:t>年度</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个政府性基金预算项目开展绩效自评，共涉及资金</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万元，占政府性基金预算项目支出总额的</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%。组织对</w:t>
      </w:r>
      <w:r>
        <w:rPr>
          <w:rFonts w:hint="default" w:ascii="仿宋_GB2312" w:eastAsia="仿宋_GB2312"/>
          <w:color w:val="000000" w:themeColor="text1"/>
          <w:sz w:val="32"/>
          <w:szCs w:val="32"/>
          <w:lang w:val="en-US" w:bidi="ar"/>
          <w14:textFill>
            <w14:solidFill>
              <w14:schemeClr w14:val="tx1"/>
            </w14:solidFill>
          </w14:textFill>
        </w:rPr>
        <w:t>2024</w:t>
      </w:r>
      <w:r>
        <w:rPr>
          <w:rFonts w:hint="eastAsia" w:ascii="仿宋_GB2312" w:eastAsia="仿宋_GB2312"/>
          <w:color w:val="000000" w:themeColor="text1"/>
          <w:sz w:val="32"/>
          <w:szCs w:val="32"/>
          <w:lang w:bidi="ar"/>
          <w14:textFill>
            <w14:solidFill>
              <w14:schemeClr w14:val="tx1"/>
            </w14:solidFill>
          </w14:textFill>
        </w:rPr>
        <w:t>年度</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个国有资本经营预算项目开展绩效自评，共涉及资金</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万元，占国有资本经营预算项目支出总额的</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共组织对</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个项目开展了部门评价，</w:t>
      </w:r>
      <w:r>
        <w:rPr>
          <w:rFonts w:hint="eastAsia" w:ascii="仿宋_GB2312" w:eastAsia="仿宋_GB2312"/>
          <w:color w:val="000000" w:themeColor="text1"/>
          <w:sz w:val="32"/>
          <w:szCs w:val="32"/>
          <w:lang w:bidi="ar"/>
          <w14:textFill>
            <w14:solidFill>
              <w14:schemeClr w14:val="tx1"/>
            </w14:solidFill>
          </w14:textFill>
        </w:rPr>
        <w:t>涉及一般公共预算支出</w:t>
      </w:r>
      <w:r>
        <w:rPr>
          <w:rFonts w:hint="eastAsia" w:ascii="仿宋_GB2312" w:eastAsia="仿宋_GB2312"/>
          <w:color w:val="000000" w:themeColor="text1"/>
          <w:sz w:val="32"/>
          <w:szCs w:val="32"/>
          <w:lang w:val="en-US" w:eastAsia="zh-CN" w:bidi="ar"/>
          <w14:textFill>
            <w14:solidFill>
              <w14:schemeClr w14:val="tx1"/>
            </w14:solidFill>
          </w14:textFill>
        </w:rPr>
        <w:t>185</w:t>
      </w:r>
      <w:r>
        <w:rPr>
          <w:rFonts w:hint="eastAsia" w:ascii="仿宋_GB2312" w:eastAsia="仿宋_GB2312"/>
          <w:color w:val="000000" w:themeColor="text1"/>
          <w:sz w:val="32"/>
          <w:szCs w:val="32"/>
          <w:lang w:bidi="ar"/>
          <w14:textFill>
            <w14:solidFill>
              <w14:schemeClr w14:val="tx1"/>
            </w14:solidFill>
          </w14:textFill>
        </w:rPr>
        <w:t>万元，政府性基金预算支出</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万元，国有资本经营预算支出</w:t>
      </w:r>
      <w:r>
        <w:rPr>
          <w:rFonts w:hint="eastAsia" w:ascii="仿宋_GB2312" w:eastAsia="仿宋_GB2312"/>
          <w:color w:val="000000" w:themeColor="text1"/>
          <w:sz w:val="32"/>
          <w:szCs w:val="32"/>
          <w:lang w:val="en-US" w:eastAsia="zh-CN" w:bidi="ar"/>
          <w14:textFill>
            <w14:solidFill>
              <w14:schemeClr w14:val="tx1"/>
            </w14:solidFill>
          </w14:textFill>
        </w:rPr>
        <w:t>0</w:t>
      </w:r>
      <w:r>
        <w:rPr>
          <w:rFonts w:hint="eastAsia" w:ascii="仿宋_GB2312" w:eastAsia="仿宋_GB2312"/>
          <w:color w:val="000000" w:themeColor="text1"/>
          <w:sz w:val="32"/>
          <w:szCs w:val="32"/>
          <w:lang w:bidi="ar"/>
          <w14:textFill>
            <w14:solidFill>
              <w14:schemeClr w14:val="tx1"/>
            </w14:solidFill>
          </w14:textFill>
        </w:rPr>
        <w:t>万元。</w:t>
      </w:r>
      <w:r>
        <w:rPr>
          <w:rFonts w:hint="eastAsia" w:ascii="仿宋_GB2312" w:eastAsia="仿宋_GB2312"/>
          <w:color w:val="000000" w:themeColor="text1"/>
          <w:sz w:val="32"/>
          <w:szCs w:val="32"/>
          <w14:textFill>
            <w14:solidFill>
              <w14:schemeClr w14:val="tx1"/>
            </w14:solidFill>
          </w14:textFill>
        </w:rPr>
        <w:t>（预算部门如有，请对预算绩效评价情况进行简单说明；没有，则简要说明本年没有进行相关工作及理由。部门所属单位不需填写此项）。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（二）部门决算中项目绩效自评结果（预算部门、单位可根据实际情况反映重点项目绩效自评结果）</w:t>
      </w:r>
    </w:p>
    <w:p>
      <w:pPr>
        <w:spacing w:line="578" w:lineRule="exact"/>
        <w:ind w:firstLine="64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参照如下格式说明（表述应与决算内容保持一致）：我部门（单位）在部门决算中反映人</w:t>
      </w:r>
      <w:bookmarkStart w:id="123" w:name="_GoBack"/>
      <w:bookmarkEnd w:id="123"/>
      <w:r>
        <w:rPr>
          <w:rFonts w:hint="eastAsia" w:ascii="仿宋_GB2312" w:eastAsia="仿宋_GB2312"/>
          <w:color w:val="000000" w:themeColor="text1"/>
          <w:sz w:val="32"/>
          <w:szCs w:val="32"/>
          <w14:textFill>
            <w14:solidFill>
              <w14:schemeClr w14:val="tx1"/>
            </w14:solidFill>
          </w14:textFill>
        </w:rPr>
        <w:t>大会议等</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个项目绩效自评结果（包括项目绩效自评表和项目绩效自评报告）。</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（三）部门评价结果（预算部门填写，部门所属单位不需填写）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color w:val="000000" w:themeColor="text1"/>
          <w:kern w:val="0"/>
          <w:sz w:val="32"/>
          <w:szCs w:val="32"/>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lang w:bidi="ar"/>
          <w14:textFill>
            <w14:solidFill>
              <w14:schemeClr w14:val="tx1"/>
            </w14:solidFill>
          </w14:textFill>
        </w:rPr>
        <w:t>部门评价项目数量在3个以内的，至少将1个部门评价报告向社会公开；部门评价项目数量大于3个的，至少将2个部门评价报告向社会公开。</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r>
        <w:rPr>
          <w:rFonts w:hint="eastAsia" w:ascii="楷体" w:hAnsi="楷体" w:eastAsia="楷体" w:cs="楷体"/>
          <w:bCs/>
          <w:color w:val="000000" w:themeColor="text1"/>
          <w:sz w:val="32"/>
          <w:szCs w:val="32"/>
          <w14:textFill>
            <w14:solidFill>
              <w14:schemeClr w14:val="tx1"/>
            </w14:solidFill>
          </w14:textFill>
        </w:rPr>
        <w:t>（四）财政评价结果（如有）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zh-CN"/>
          <w14:textFill>
            <w14:solidFill>
              <w14:schemeClr w14:val="tx1"/>
            </w14:solidFill>
          </w14:textFill>
        </w:rPr>
        <w:t>反映财政部门组织开展的预算部门（单位）重点项目财政评价情况，如有，可将评价报告附后。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bCs/>
          <w:color w:val="000000" w:themeColor="text1"/>
          <w:sz w:val="32"/>
          <w:szCs w:val="32"/>
          <w14:textFill>
            <w14:solidFill>
              <w14:schemeClr w14:val="tx1"/>
            </w14:solidFill>
          </w14:textFill>
        </w:rPr>
      </w:pPr>
      <w:r>
        <w:rPr>
          <w:rFonts w:hint="eastAsia" w:ascii="黑体" w:hAnsi="黑体" w:eastAsia="黑体" w:cs="黑体"/>
          <w:bCs/>
          <w:color w:val="000000" w:themeColor="text1"/>
          <w:sz w:val="32"/>
          <w:szCs w:val="32"/>
          <w14:textFill>
            <w14:solidFill>
              <w14:schemeClr w14:val="tx1"/>
            </w14:solidFill>
          </w14:textFill>
        </w:rPr>
        <w:t>十一、其他重要事项情况说明</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99" w:name="_Toc32639_WPSOffice_Level2"/>
      <w:bookmarkStart w:id="100" w:name="_Toc18325_WPSOffice_Level2"/>
      <w:bookmarkStart w:id="101" w:name="_Toc15565_WPSOffice_Level2"/>
      <w:bookmarkStart w:id="102" w:name="_Toc5978_WPSOffice_Level2"/>
      <w:bookmarkStart w:id="103" w:name="_Toc23598_WPSOffice_Level2"/>
      <w:bookmarkStart w:id="104" w:name="_Toc15262_WPSOffice_Level2"/>
      <w:r>
        <w:rPr>
          <w:rFonts w:hint="eastAsia" w:ascii="楷体" w:hAnsi="楷体" w:eastAsia="楷体" w:cs="楷体"/>
          <w:bCs/>
          <w:color w:val="000000" w:themeColor="text1"/>
          <w:sz w:val="32"/>
          <w:szCs w:val="32"/>
          <w14:textFill>
            <w14:solidFill>
              <w14:schemeClr w14:val="tx1"/>
            </w14:solidFill>
          </w14:textFill>
        </w:rPr>
        <w:t>（一）机关运行经费支出情况</w:t>
      </w:r>
      <w:bookmarkEnd w:id="99"/>
      <w:bookmarkEnd w:id="100"/>
      <w:bookmarkEnd w:id="101"/>
      <w:bookmarkEnd w:id="102"/>
      <w:bookmarkEnd w:id="103"/>
      <w:bookmarkEnd w:id="104"/>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val="en-US" w:eastAsia="zh-CN"/>
          <w14:textFill>
            <w14:solidFill>
              <w14:schemeClr w14:val="tx1"/>
            </w14:solidFill>
          </w14:textFill>
        </w:rPr>
        <w:t>本</w:t>
      </w:r>
      <w:r>
        <w:rPr>
          <w:rFonts w:hint="eastAsia" w:ascii="仿宋_GB2312" w:hAnsi="ˎ̥" w:eastAsia="仿宋_GB2312"/>
          <w:color w:val="000000" w:themeColor="text1"/>
          <w:sz w:val="32"/>
          <w:szCs w:val="32"/>
          <w14:textFill>
            <w14:solidFill>
              <w14:schemeClr w14:val="tx1"/>
            </w14:solidFill>
          </w14:textFill>
        </w:rPr>
        <w:t>部门（单位）机关运行经费</w:t>
      </w:r>
      <w:r>
        <w:rPr>
          <w:rFonts w:hint="eastAsia" w:ascii="仿宋_GB2312" w:hAnsi="ˎ̥" w:eastAsia="仿宋_GB2312"/>
          <w:color w:val="000000" w:themeColor="text1"/>
          <w:sz w:val="32"/>
          <w:szCs w:val="32"/>
          <w:lang w:val="en-US" w:eastAsia="zh-CN"/>
          <w14:textFill>
            <w14:solidFill>
              <w14:schemeClr w14:val="tx1"/>
            </w14:solidFill>
          </w14:textFill>
        </w:rPr>
        <w:t>43.86</w:t>
      </w:r>
      <w:r>
        <w:rPr>
          <w:rFonts w:hint="eastAsia" w:ascii="仿宋_GB2312" w:hAnsi="ˎ̥" w:eastAsia="仿宋_GB2312"/>
          <w:color w:val="000000" w:themeColor="text1"/>
          <w:sz w:val="32"/>
          <w:szCs w:val="32"/>
          <w14:textFill>
            <w14:solidFill>
              <w14:schemeClr w14:val="tx1"/>
            </w14:solidFill>
          </w14:textFill>
        </w:rPr>
        <w:t>万元（为部门决算中行政单位和参公事业单位财政拨款基本支出中公用经费支出之和，事业单位没有机关运行经费支出），比年初预算增加</w:t>
      </w:r>
      <w:r>
        <w:rPr>
          <w:rFonts w:hint="eastAsia" w:ascii="仿宋_GB2312" w:hAnsi="ˎ̥" w:eastAsia="仿宋_GB2312"/>
          <w:color w:val="000000" w:themeColor="text1"/>
          <w:sz w:val="32"/>
          <w:szCs w:val="32"/>
          <w:lang w:val="en-US" w:eastAsia="zh-CN"/>
          <w14:textFill>
            <w14:solidFill>
              <w14:schemeClr w14:val="tx1"/>
            </w14:solidFill>
          </w14:textFill>
        </w:rPr>
        <w:t>2.99</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完成预算的100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与2023年度相比，机关运行经费</w:t>
      </w:r>
      <w:r>
        <w:rPr>
          <w:rFonts w:hint="eastAsia" w:ascii="仿宋_GB2312" w:hAnsi="ˎ̥" w:eastAsia="仿宋_GB2312"/>
          <w:color w:val="000000" w:themeColor="text1"/>
          <w:sz w:val="32"/>
          <w:szCs w:val="32"/>
          <w14:textFill>
            <w14:solidFill>
              <w14:schemeClr w14:val="tx1"/>
            </w14:solidFill>
          </w14:textFill>
        </w:rPr>
        <w:t>增加</w:t>
      </w:r>
      <w:r>
        <w:rPr>
          <w:rFonts w:hint="eastAsia" w:ascii="仿宋_GB2312" w:hAnsi="ˎ̥" w:eastAsia="仿宋_GB2312"/>
          <w:color w:val="000000" w:themeColor="text1"/>
          <w:sz w:val="32"/>
          <w:szCs w:val="32"/>
          <w:lang w:val="en-US" w:eastAsia="zh-CN"/>
          <w14:textFill>
            <w14:solidFill>
              <w14:schemeClr w14:val="tx1"/>
            </w14:solidFill>
          </w14:textFill>
        </w:rPr>
        <w:t>19.28</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lang w:val="en-US" w:eastAsia="zh-CN"/>
          <w14:textFill>
            <w14:solidFill>
              <w14:schemeClr w14:val="tx1"/>
            </w14:solidFill>
          </w14:textFill>
        </w:rPr>
        <w:t>增长43.9%。</w:t>
      </w:r>
      <w:r>
        <w:rPr>
          <w:rFonts w:hint="eastAsia" w:ascii="仿宋_GB2312" w:hAnsi="ˎ̥" w:eastAsia="仿宋_GB2312"/>
          <w:color w:val="000000" w:themeColor="text1"/>
          <w:sz w:val="32"/>
          <w:szCs w:val="32"/>
          <w14:textFill>
            <w14:solidFill>
              <w14:schemeClr w14:val="tx1"/>
            </w14:solidFill>
          </w14:textFill>
        </w:rPr>
        <w:t>主要原因是：</w:t>
      </w:r>
      <w:r>
        <w:rPr>
          <w:rFonts w:hint="eastAsia" w:ascii="仿宋_GB2312" w:hAnsi="ˎ̥" w:eastAsia="仿宋_GB2312"/>
          <w:color w:val="000000" w:themeColor="text1"/>
          <w:sz w:val="32"/>
          <w:szCs w:val="32"/>
          <w:lang w:bidi="ar"/>
          <w14:textFill>
            <w14:solidFill>
              <w14:schemeClr w14:val="tx1"/>
            </w14:solidFill>
          </w14:textFill>
        </w:rPr>
        <w:t>办公设施设备购置经费增加</w:t>
      </w:r>
      <w:r>
        <w:rPr>
          <w:rFonts w:hint="eastAsia" w:ascii="仿宋_GB2312" w:hAnsi="ˎ̥" w:eastAsia="仿宋_GB2312"/>
          <w:color w:val="000000" w:themeColor="text1"/>
          <w:sz w:val="32"/>
          <w:szCs w:val="32"/>
          <w:lang w:eastAsia="zh-CN" w:bidi="ar"/>
          <w14:textFill>
            <w14:solidFill>
              <w14:schemeClr w14:val="tx1"/>
            </w14:solidFill>
          </w14:textFill>
        </w:rPr>
        <w:t>、</w:t>
      </w:r>
      <w:r>
        <w:rPr>
          <w:rFonts w:hint="eastAsia" w:ascii="仿宋_GB2312" w:hAnsi="ˎ̥" w:eastAsia="仿宋_GB2312"/>
          <w:color w:val="000000" w:themeColor="text1"/>
          <w:sz w:val="32"/>
          <w:szCs w:val="32"/>
          <w:lang w:bidi="ar"/>
          <w14:textFill>
            <w14:solidFill>
              <w14:schemeClr w14:val="tx1"/>
            </w14:solidFill>
          </w14:textFill>
        </w:rPr>
        <w:t>资产运行维护支出增加</w:t>
      </w:r>
      <w:r>
        <w:rPr>
          <w:rFonts w:hint="eastAsia" w:ascii="仿宋_GB2312" w:hAnsi="ˎ̥" w:eastAsia="仿宋_GB2312"/>
          <w:color w:val="000000" w:themeColor="text1"/>
          <w:sz w:val="32"/>
          <w:szCs w:val="32"/>
          <w:lang w:eastAsia="zh-CN" w:bidi="ar"/>
          <w14:textFill>
            <w14:solidFill>
              <w14:schemeClr w14:val="tx1"/>
            </w14:solidFill>
          </w14:textFill>
        </w:rPr>
        <w:t>、</w:t>
      </w:r>
      <w:r>
        <w:rPr>
          <w:rFonts w:hint="eastAsia" w:ascii="仿宋_GB2312" w:hAnsi="ˎ̥" w:eastAsia="仿宋_GB2312"/>
          <w:color w:val="000000" w:themeColor="text1"/>
          <w:sz w:val="32"/>
          <w:szCs w:val="32"/>
          <w:lang w:bidi="ar"/>
          <w14:textFill>
            <w14:solidFill>
              <w14:schemeClr w14:val="tx1"/>
            </w14:solidFill>
          </w14:textFill>
        </w:rPr>
        <w:t>信息系统运行维护支出增加</w:t>
      </w:r>
      <w:r>
        <w:rPr>
          <w:rFonts w:hint="eastAsia" w:ascii="仿宋_GB2312" w:hAnsi="ˎ̥" w:eastAsia="仿宋_GB2312"/>
          <w:color w:val="000000" w:themeColor="text1"/>
          <w:sz w:val="32"/>
          <w:szCs w:val="32"/>
          <w:lang w:eastAsia="zh-CN" w:bidi="ar"/>
          <w14:textFill>
            <w14:solidFill>
              <w14:schemeClr w14:val="tx1"/>
            </w14:solidFill>
          </w14:textFill>
        </w:rPr>
        <w:t>、</w:t>
      </w:r>
      <w:r>
        <w:rPr>
          <w:rFonts w:hint="eastAsia" w:ascii="仿宋_GB2312" w:hAnsi="ˎ̥" w:eastAsia="仿宋_GB2312"/>
          <w:color w:val="000000" w:themeColor="text1"/>
          <w:sz w:val="32"/>
          <w:szCs w:val="32"/>
          <w:lang w:bidi="ar"/>
          <w14:textFill>
            <w14:solidFill>
              <w14:schemeClr w14:val="tx1"/>
            </w14:solidFill>
          </w14:textFill>
        </w:rPr>
        <w:t>人员编制数量增加等</w:t>
      </w:r>
      <w:r>
        <w:rPr>
          <w:rFonts w:hint="eastAsia" w:ascii="仿宋_GB2312" w:hAnsi="ˎ̥" w:eastAsia="仿宋_GB2312"/>
          <w:color w:val="000000" w:themeColor="text1"/>
          <w:sz w:val="32"/>
          <w:szCs w:val="32"/>
          <w14:textFill>
            <w14:solidFill>
              <w14:schemeClr w14:val="tx1"/>
            </w14:solidFill>
          </w14:textFill>
        </w:rPr>
        <w:t>（具体增减原因由</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单位根据实际情况填列）。</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年度部门决算报表F03表《机构运行信息表》“机关运行经费”栏。）</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105" w:name="_Toc25333_WPSOffice_Level2"/>
      <w:bookmarkStart w:id="106" w:name="_Toc13084_WPSOffice_Level2"/>
      <w:bookmarkStart w:id="107" w:name="_Toc23966_WPSOffice_Level2"/>
      <w:bookmarkStart w:id="108" w:name="_Toc30383_WPSOffice_Level2"/>
      <w:bookmarkStart w:id="109" w:name="_Toc3131_WPSOffice_Level2"/>
      <w:bookmarkStart w:id="110" w:name="_Toc32689_WPSOffice_Level2"/>
      <w:r>
        <w:rPr>
          <w:rFonts w:hint="eastAsia" w:ascii="楷体" w:hAnsi="楷体" w:eastAsia="楷体" w:cs="楷体"/>
          <w:bCs/>
          <w:color w:val="000000" w:themeColor="text1"/>
          <w:sz w:val="32"/>
          <w:szCs w:val="32"/>
          <w14:textFill>
            <w14:solidFill>
              <w14:schemeClr w14:val="tx1"/>
            </w14:solidFill>
          </w14:textFill>
        </w:rPr>
        <w:t>（二）政府采购支出情况</w:t>
      </w:r>
      <w:bookmarkEnd w:id="105"/>
      <w:bookmarkEnd w:id="106"/>
      <w:bookmarkEnd w:id="107"/>
      <w:bookmarkEnd w:id="108"/>
      <w:bookmarkEnd w:id="109"/>
      <w:bookmarkEnd w:id="110"/>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left"/>
        <w:textAlignment w:val="auto"/>
        <w:rPr>
          <w:rFonts w:hint="eastAsia" w:ascii="仿宋_GB2312" w:hAnsi="ˎ̥" w:eastAsia="仿宋_GB2312"/>
          <w:color w:val="000000" w:themeColor="text1"/>
          <w:sz w:val="32"/>
          <w:szCs w:val="32"/>
          <w:lang w:eastAsia="zh-CN"/>
          <w14:textFill>
            <w14:solidFill>
              <w14:schemeClr w14:val="tx1"/>
            </w14:solidFill>
          </w14:textFill>
        </w:rPr>
      </w:pP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w:t>
      </w:r>
      <w:r>
        <w:rPr>
          <w:rFonts w:hint="eastAsia" w:ascii="仿宋_GB2312" w:hAnsi="ˎ̥" w:eastAsia="仿宋_GB2312"/>
          <w:color w:val="000000" w:themeColor="text1"/>
          <w:sz w:val="32"/>
          <w:szCs w:val="32"/>
          <w:lang w:eastAsia="zh-CN"/>
          <w14:textFill>
            <w14:solidFill>
              <w14:schemeClr w14:val="tx1"/>
            </w14:solidFill>
          </w14:textFill>
        </w:rPr>
        <w:t>本</w:t>
      </w:r>
      <w:r>
        <w:rPr>
          <w:rFonts w:hint="eastAsia" w:ascii="仿宋_GB2312" w:hAnsi="ˎ̥" w:eastAsia="仿宋_GB2312"/>
          <w:color w:val="000000" w:themeColor="text1"/>
          <w:sz w:val="32"/>
          <w:szCs w:val="32"/>
          <w14:textFill>
            <w14:solidFill>
              <w14:schemeClr w14:val="tx1"/>
            </w14:solidFill>
          </w14:textFill>
        </w:rPr>
        <w:t>部门（单位）政府采购支出总额</w:t>
      </w:r>
      <w:r>
        <w:rPr>
          <w:rFonts w:hint="eastAsia" w:ascii="仿宋_GB2312" w:hAnsi="ˎ̥" w:eastAsia="仿宋_GB2312"/>
          <w:color w:val="000000" w:themeColor="text1"/>
          <w:sz w:val="32"/>
          <w:szCs w:val="32"/>
          <w:lang w:val="en-US" w:eastAsia="zh-CN"/>
          <w14:textFill>
            <w14:solidFill>
              <w14:schemeClr w14:val="tx1"/>
            </w14:solidFill>
          </w14:textFill>
        </w:rPr>
        <w:t>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上述政府采购支出相关</w:t>
      </w:r>
      <w:r>
        <w:rPr>
          <w:rFonts w:hint="eastAsia" w:ascii="仿宋_GB2312" w:hAnsi="ˎ̥" w:eastAsia="仿宋_GB2312"/>
          <w:color w:val="000000" w:themeColor="text1"/>
          <w:sz w:val="32"/>
          <w:szCs w:val="32"/>
          <w:lang w:val="en-US" w:eastAsia="zh-CN"/>
          <w14:textFill>
            <w14:solidFill>
              <w14:schemeClr w14:val="tx1"/>
            </w14:solidFill>
          </w14:textFill>
        </w:rPr>
        <w:t>数据</w:t>
      </w:r>
      <w:r>
        <w:rPr>
          <w:rFonts w:hint="eastAsia" w:ascii="仿宋_GB2312" w:hAnsi="ˎ̥" w:eastAsia="仿宋_GB2312"/>
          <w:color w:val="000000" w:themeColor="text1"/>
          <w:sz w:val="32"/>
          <w:szCs w:val="32"/>
          <w14:textFill>
            <w14:solidFill>
              <w14:schemeClr w14:val="tx1"/>
            </w14:solidFill>
          </w14:textFill>
        </w:rPr>
        <w:t>取自</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年度部门决算报表F03表《机构运行信息表》，授予中小企业和小微企业合同金额由各部门查阅本部门相关资料填写。）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楷体" w:hAnsi="楷体" w:eastAsia="楷体" w:cs="楷体"/>
          <w:bCs/>
          <w:color w:val="000000" w:themeColor="text1"/>
          <w:sz w:val="32"/>
          <w:szCs w:val="32"/>
          <w14:textFill>
            <w14:solidFill>
              <w14:schemeClr w14:val="tx1"/>
            </w14:solidFill>
          </w14:textFill>
        </w:rPr>
      </w:pPr>
      <w:bookmarkStart w:id="111" w:name="_Toc10902_WPSOffice_Level2"/>
      <w:bookmarkStart w:id="112" w:name="_Toc527_WPSOffice_Level2"/>
      <w:bookmarkStart w:id="113" w:name="_Toc19989_WPSOffice_Level2"/>
      <w:bookmarkStart w:id="114" w:name="_Toc15129_WPSOffice_Level2"/>
      <w:bookmarkStart w:id="115" w:name="_Toc29584_WPSOffice_Level2"/>
      <w:bookmarkStart w:id="116" w:name="_Toc6016_WPSOffice_Level2"/>
      <w:r>
        <w:rPr>
          <w:rFonts w:hint="eastAsia" w:ascii="楷体" w:hAnsi="楷体" w:eastAsia="楷体" w:cs="楷体"/>
          <w:bCs/>
          <w:color w:val="000000" w:themeColor="text1"/>
          <w:sz w:val="32"/>
          <w:szCs w:val="32"/>
          <w14:textFill>
            <w14:solidFill>
              <w14:schemeClr w14:val="tx1"/>
            </w14:solidFill>
          </w14:textFill>
        </w:rPr>
        <w:t>（三）国有资产占用情况</w:t>
      </w:r>
      <w:bookmarkEnd w:id="111"/>
      <w:bookmarkEnd w:id="112"/>
      <w:bookmarkEnd w:id="113"/>
      <w:bookmarkEnd w:id="114"/>
      <w:bookmarkEnd w:id="115"/>
      <w:bookmarkEnd w:id="116"/>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bCs/>
          <w:color w:val="000000" w:themeColor="text1"/>
          <w:sz w:val="32"/>
          <w:szCs w:val="32"/>
          <w14:textFill>
            <w14:solidFill>
              <w14:schemeClr w14:val="tx1"/>
            </w14:solidFill>
          </w14:textFill>
        </w:rPr>
        <w:t>截至</w:t>
      </w:r>
      <w:r>
        <w:rPr>
          <w:rFonts w:hint="default" w:ascii="仿宋_GB2312" w:hAnsi="ˎ̥" w:eastAsia="仿宋_GB2312"/>
          <w:bCs/>
          <w:color w:val="000000" w:themeColor="text1"/>
          <w:sz w:val="32"/>
          <w:szCs w:val="32"/>
          <w:lang w:val="en-US"/>
          <w14:textFill>
            <w14:solidFill>
              <w14:schemeClr w14:val="tx1"/>
            </w14:solidFill>
          </w14:textFill>
        </w:rPr>
        <w:t>2024</w:t>
      </w:r>
      <w:r>
        <w:rPr>
          <w:rFonts w:hint="eastAsia" w:ascii="仿宋_GB2312" w:hAnsi="ˎ̥" w:eastAsia="仿宋_GB2312"/>
          <w:bCs/>
          <w:color w:val="000000" w:themeColor="text1"/>
          <w:sz w:val="32"/>
          <w:szCs w:val="32"/>
          <w14:textFill>
            <w14:solidFill>
              <w14:schemeClr w14:val="tx1"/>
            </w14:solidFill>
          </w14:textFill>
        </w:rPr>
        <w:t>年12月31日，部门拥有</w:t>
      </w:r>
      <w:r>
        <w:rPr>
          <w:rFonts w:hint="eastAsia" w:ascii="仿宋_GB2312" w:hAnsi="ˎ̥" w:eastAsia="仿宋_GB2312"/>
          <w:color w:val="000000" w:themeColor="text1"/>
          <w:sz w:val="32"/>
          <w:szCs w:val="32"/>
          <w14:textFill>
            <w14:solidFill>
              <w14:schemeClr w14:val="tx1"/>
            </w14:solidFill>
          </w14:textFill>
        </w:rPr>
        <w:t>房屋面积135平方米，其中：办公用房85平方米，业务用房55平方米，其他（不含构筑物）0平方米。</w:t>
      </w:r>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本部门共有车辆0辆，其中，副部（省）级及以上领导用车0辆、主要负责人用车0辆、机要通信用车0辆、应急保障用车0辆、执法执勤用车0辆、特种专业技术用车0辆、离退休干部服务用车0辆、其他用车0辆，其他用车主要是无。单价100万元（含）以上设备（不含车辆）1台（套）。</w:t>
      </w:r>
    </w:p>
    <w:p>
      <w:pPr>
        <w:spacing w:line="578" w:lineRule="exact"/>
        <w:ind w:firstLine="640" w:firstLineChars="200"/>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年末在建工程0万元。</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上述国有资产占用情况相关数</w:t>
      </w:r>
      <w:r>
        <w:rPr>
          <w:rFonts w:hint="eastAsia" w:ascii="仿宋_GB2312" w:hAnsi="ˎ̥" w:eastAsia="仿宋_GB2312"/>
          <w:color w:val="000000" w:themeColor="text1"/>
          <w:sz w:val="32"/>
          <w:szCs w:val="32"/>
          <w:lang w:val="en-US" w:eastAsia="zh-CN"/>
          <w14:textFill>
            <w14:solidFill>
              <w14:schemeClr w14:val="tx1"/>
            </w14:solidFill>
          </w14:textFill>
        </w:rPr>
        <w:t>据</w:t>
      </w:r>
      <w:r>
        <w:rPr>
          <w:rFonts w:hint="eastAsia" w:ascii="仿宋_GB2312" w:hAnsi="ˎ̥" w:eastAsia="仿宋_GB2312"/>
          <w:color w:val="000000" w:themeColor="text1"/>
          <w:sz w:val="32"/>
          <w:szCs w:val="32"/>
          <w14:textFill>
            <w14:solidFill>
              <w14:schemeClr w14:val="tx1"/>
            </w14:solidFill>
          </w14:textFill>
        </w:rPr>
        <w:t>取自</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年度部门决算F0</w:t>
      </w:r>
      <w:r>
        <w:rPr>
          <w:rFonts w:hint="default" w:ascii="仿宋_GB2312" w:hAnsi="ˎ̥" w:eastAsia="仿宋_GB2312"/>
          <w:color w:val="000000" w:themeColor="text1"/>
          <w:sz w:val="32"/>
          <w:szCs w:val="32"/>
          <w:lang w:val="en-US"/>
          <w14:textFill>
            <w14:solidFill>
              <w14:schemeClr w14:val="tx1"/>
            </w14:solidFill>
          </w14:textFill>
        </w:rPr>
        <w:t>2</w:t>
      </w:r>
      <w:r>
        <w:rPr>
          <w:rFonts w:hint="eastAsia" w:ascii="仿宋_GB2312" w:hAnsi="ˎ̥" w:eastAsia="仿宋_GB2312"/>
          <w:color w:val="000000" w:themeColor="text1"/>
          <w:sz w:val="32"/>
          <w:szCs w:val="32"/>
          <w14:textFill>
            <w14:solidFill>
              <w14:schemeClr w14:val="tx1"/>
            </w14:solidFill>
          </w14:textFill>
        </w:rPr>
        <w:t>表《预算支出相关信息表》、F03表《机构运行信息表》。）</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bookmarkStart w:id="117" w:name="_Toc8874_WPSOffice_Level1"/>
      <w:bookmarkStart w:id="118" w:name="_Toc11039_WPSOffice_Level1"/>
      <w:bookmarkStart w:id="119" w:name="_Toc8808_WPSOffice_Level1"/>
      <w:bookmarkStart w:id="120" w:name="_Toc17580_WPSOffice_Level1"/>
      <w:bookmarkStart w:id="121" w:name="_Toc4398_WPSOffice_Level1"/>
      <w:bookmarkStart w:id="122" w:name="_Toc15425_WPSOffice_Level1"/>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r>
        <w:rPr>
          <w:rFonts w:hint="eastAsia" w:ascii="黑体" w:hAnsi="ˎ̥" w:eastAsia="黑体"/>
          <w:color w:val="000000" w:themeColor="text1"/>
          <w:sz w:val="32"/>
          <w:szCs w:val="32"/>
          <w14:textFill>
            <w14:solidFill>
              <w14:schemeClr w14:val="tx1"/>
            </w14:solidFill>
          </w14:textFill>
        </w:rPr>
        <w:t>第四部分  名词解释</w:t>
      </w:r>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ˎ̥" w:eastAsia="黑体"/>
          <w:color w:val="000000" w:themeColor="text1"/>
          <w:sz w:val="32"/>
          <w:szCs w:val="32"/>
          <w14:textFill>
            <w14:solidFill>
              <w14:schemeClr w14:val="tx1"/>
            </w14:solidFill>
          </w14:textFill>
        </w:rPr>
      </w:pPr>
    </w:p>
    <w:p>
      <w:pPr>
        <w:keepNext w:val="0"/>
        <w:keepLines w:val="0"/>
        <w:pageBreakBefore w:val="0"/>
        <w:widowControl w:val="0"/>
        <w:numPr>
          <w:ilvl w:val="0"/>
          <w:numId w:val="3"/>
        </w:numPr>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财政拨款收入：指同级政府财政部门当年拨付的各类财政拨款。</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二、上级补助收入：指事业单位从主管部门和上级单位取得的非财政补助收入。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三、事业收入：指事业单位开展专业业务活动及辅助活动取得的收入。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四、经营收入：指事业单位在专业业务活动及其辅助活动之外开展非独立核算经营活动取得的收入。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五、附属单位上缴收入：指事业单位取得附属独立核算单位根据有关规定上缴的收入。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六、其他收入：指除上述“财政拨款收入”“事业收入”“上级补助收入”“经营收入”“附属单位上缴收入”等以外的收入。</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七、使用非财政拨款结余：指事业单位在当年的“财政拨款收入”“事业收入”“经营收入”“其他收入”等不足以安排当年支出的情况下，使用非同级财政拨款结余资金弥补本年度收支缺口。</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八、年初结转和结余：指以前年度尚未完成、结转到本年按有关规定继续使用的资金，或项目已完成等产生的结余资金。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九、结余分配：指事业单位缴纳企业所得税以及从非财政拨款结余或经营结余中提取各类结余的情况。</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十、年末结转和结余：指本年度或以前年度预算安排、因客观条件发生变化无法按原计划实施，需要延迟到以后年度按有关规定继续使用的资金（不包括事业单位非财政拨款结余和专用结余）。</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十一、基本支出：指为保障机构正常运转、完成日常工作任务而发生的人员支出和公用支出。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十二、项目支出：指在基本支出之外为完成特定行政任务和事业发展目标所发生的支出。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十三、经营支出：指事业单位在专业业务活动及其辅助活动之外开展非独立核算经营活动发生的支出。</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十六、</w:t>
      </w:r>
      <w:r>
        <w:rPr>
          <w:rFonts w:ascii="仿宋_GB2312" w:hAnsi="ˎ̥" w:eastAsia="仿宋_GB2312"/>
          <w:color w:val="000000" w:themeColor="text1"/>
          <w:sz w:val="32"/>
          <w:szCs w:val="32"/>
          <w14:textFill>
            <w14:solidFill>
              <w14:schemeClr w14:val="tx1"/>
            </w14:solidFill>
          </w14:textFill>
        </w:rPr>
        <w:t>支出功能分类：</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eastAsia" w:ascii="仿宋_GB2312" w:hAnsi="ˎ̥" w:eastAsia="仿宋_GB2312"/>
          <w:color w:val="000000" w:themeColor="text1"/>
          <w:sz w:val="32"/>
          <w:szCs w:val="32"/>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XXXX（类）XXXX（款）XXXX（项），……；</w:t>
      </w:r>
    </w:p>
    <w:p>
      <w:pPr>
        <w:keepNext w:val="0"/>
        <w:keepLines w:val="0"/>
        <w:pageBreakBefore w:val="0"/>
        <w:widowControl w:val="0"/>
        <w:kinsoku/>
        <w:wordWrap/>
        <w:overflowPunct/>
        <w:topLinePunct w:val="0"/>
        <w:autoSpaceDE/>
        <w:autoSpaceDN/>
        <w:bidi w:val="0"/>
        <w:adjustRightInd/>
        <w:snapToGrid/>
        <w:spacing w:line="578" w:lineRule="exact"/>
        <w:ind w:firstLine="645"/>
        <w:textAlignment w:val="auto"/>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XXXX（类）XXXX（款）XXXX（项），……</w:t>
      </w:r>
      <w:r>
        <w:rPr>
          <w:rFonts w:hint="eastAsia" w:ascii="仿宋_GB2312" w:hAnsi="ˎ̥" w:eastAsia="仿宋_GB2312"/>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8" w:lineRule="exact"/>
        <w:textAlignment w:val="auto"/>
        <w:rPr>
          <w:color w:val="000000" w:themeColor="text1"/>
          <w14:textFill>
            <w14:solidFill>
              <w14:schemeClr w14:val="tx1"/>
            </w14:solidFill>
          </w14:textFill>
        </w:rPr>
      </w:pPr>
      <w:r>
        <w:rPr>
          <w:rFonts w:hint="eastAsia" w:ascii="仿宋_GB2312" w:hAnsi="ˎ̥" w:eastAsia="仿宋_GB2312"/>
          <w:color w:val="000000" w:themeColor="text1"/>
          <w:sz w:val="32"/>
          <w:szCs w:val="32"/>
          <w14:textFill>
            <w14:solidFill>
              <w14:schemeClr w14:val="tx1"/>
            </w14:solidFill>
          </w14:textFill>
        </w:rPr>
        <w:t>（注</w:t>
      </w:r>
      <w:r>
        <w:rPr>
          <w:rFonts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支出功能分类的名词解释，各</w:t>
      </w:r>
      <w:r>
        <w:rPr>
          <w:rFonts w:hint="eastAsia" w:ascii="仿宋_GB2312" w:hAnsi="ˎ̥" w:eastAsia="仿宋_GB2312"/>
          <w:color w:val="000000" w:themeColor="text1"/>
          <w:sz w:val="32"/>
          <w:szCs w:val="32"/>
          <w:lang w:val="en-US" w:eastAsia="zh-CN"/>
          <w14:textFill>
            <w14:solidFill>
              <w14:schemeClr w14:val="tx1"/>
            </w14:solidFill>
          </w14:textFill>
        </w:rPr>
        <w:t>预算</w:t>
      </w:r>
      <w:r>
        <w:rPr>
          <w:rFonts w:hint="eastAsia" w:ascii="仿宋_GB2312" w:hAnsi="ˎ̥" w:eastAsia="仿宋_GB2312"/>
          <w:color w:val="000000" w:themeColor="text1"/>
          <w:sz w:val="32"/>
          <w:szCs w:val="32"/>
          <w14:textFill>
            <w14:solidFill>
              <w14:schemeClr w14:val="tx1"/>
            </w14:solidFill>
          </w14:textFill>
        </w:rPr>
        <w:t>部门</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单位根据实际支出情况填列，可参阅财政部印发的《</w:t>
      </w:r>
      <w:r>
        <w:rPr>
          <w:rFonts w:hint="default" w:ascii="仿宋_GB2312" w:hAnsi="ˎ̥" w:eastAsia="仿宋_GB2312"/>
          <w:color w:val="000000" w:themeColor="text1"/>
          <w:sz w:val="32"/>
          <w:szCs w:val="32"/>
          <w:lang w:val="en-US"/>
          <w14:textFill>
            <w14:solidFill>
              <w14:schemeClr w14:val="tx1"/>
            </w14:solidFill>
          </w14:textFill>
        </w:rPr>
        <w:t>2024</w:t>
      </w:r>
      <w:r>
        <w:rPr>
          <w:rFonts w:hint="eastAsia" w:ascii="仿宋_GB2312" w:hAnsi="ˎ̥" w:eastAsia="仿宋_GB2312"/>
          <w:color w:val="000000" w:themeColor="text1"/>
          <w:sz w:val="32"/>
          <w:szCs w:val="32"/>
          <w14:textFill>
            <w14:solidFill>
              <w14:schemeClr w14:val="tx1"/>
            </w14:solidFill>
          </w14:textFill>
        </w:rPr>
        <w:t>年政府收支分类科目》</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w:t>
      </w:r>
    </w:p>
    <w:sectPr>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楷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60" w:lineRule="exact"/>
      <w:ind w:firstLine="0"/>
      <w:jc w:val="both"/>
    </w:pPr>
    <w:r>
      <w:rPr>
        <w:color w:val="000000"/>
        <w:sz w:val="32"/>
      </w:rPr>
      <w:t>-4-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18</w: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44AE1840"/>
    <w:multiLevelType w:val="singleLevel"/>
    <w:tmpl w:val="44AE1840"/>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B0D64"/>
    <w:rsid w:val="00731FC7"/>
    <w:rsid w:val="00740E64"/>
    <w:rsid w:val="00754F6E"/>
    <w:rsid w:val="007A4101"/>
    <w:rsid w:val="008232A9"/>
    <w:rsid w:val="00896ADB"/>
    <w:rsid w:val="008D31D7"/>
    <w:rsid w:val="009A2744"/>
    <w:rsid w:val="00A54A37"/>
    <w:rsid w:val="00A70448"/>
    <w:rsid w:val="00AA19F3"/>
    <w:rsid w:val="00AC28EE"/>
    <w:rsid w:val="00AC3F0E"/>
    <w:rsid w:val="00B36E61"/>
    <w:rsid w:val="00B409FF"/>
    <w:rsid w:val="00B4133E"/>
    <w:rsid w:val="00B54DE8"/>
    <w:rsid w:val="00B63E9E"/>
    <w:rsid w:val="00BC0439"/>
    <w:rsid w:val="00C04C21"/>
    <w:rsid w:val="00C7436A"/>
    <w:rsid w:val="00CA0F14"/>
    <w:rsid w:val="00CA536B"/>
    <w:rsid w:val="00CB0D1E"/>
    <w:rsid w:val="00CD6E49"/>
    <w:rsid w:val="00CD794A"/>
    <w:rsid w:val="00DB612B"/>
    <w:rsid w:val="00DC2A37"/>
    <w:rsid w:val="00E07782"/>
    <w:rsid w:val="00E70EA3"/>
    <w:rsid w:val="00EB1B5F"/>
    <w:rsid w:val="00F0336A"/>
    <w:rsid w:val="00F06DA9"/>
    <w:rsid w:val="00F103D6"/>
    <w:rsid w:val="00F25220"/>
    <w:rsid w:val="00FA2884"/>
    <w:rsid w:val="00FC03DC"/>
    <w:rsid w:val="00FC5708"/>
    <w:rsid w:val="010D08D1"/>
    <w:rsid w:val="02D94B75"/>
    <w:rsid w:val="036A38D1"/>
    <w:rsid w:val="09201287"/>
    <w:rsid w:val="0A016BF8"/>
    <w:rsid w:val="0B68716E"/>
    <w:rsid w:val="0C102A48"/>
    <w:rsid w:val="0D780D71"/>
    <w:rsid w:val="0EB62353"/>
    <w:rsid w:val="0EE944D5"/>
    <w:rsid w:val="0FC80124"/>
    <w:rsid w:val="136F98C7"/>
    <w:rsid w:val="13842210"/>
    <w:rsid w:val="13D70305"/>
    <w:rsid w:val="14425B95"/>
    <w:rsid w:val="14A27390"/>
    <w:rsid w:val="17427E68"/>
    <w:rsid w:val="1755065F"/>
    <w:rsid w:val="18E5362D"/>
    <w:rsid w:val="1AFC29C9"/>
    <w:rsid w:val="1CA52F2E"/>
    <w:rsid w:val="1CB81A4E"/>
    <w:rsid w:val="1DFE370B"/>
    <w:rsid w:val="1E3630B9"/>
    <w:rsid w:val="201F4B41"/>
    <w:rsid w:val="22FD04F2"/>
    <w:rsid w:val="268F7BDE"/>
    <w:rsid w:val="26B009B8"/>
    <w:rsid w:val="26EEC2B5"/>
    <w:rsid w:val="29472309"/>
    <w:rsid w:val="2B406E77"/>
    <w:rsid w:val="2C2A0C43"/>
    <w:rsid w:val="2C3214F3"/>
    <w:rsid w:val="2D1E73A5"/>
    <w:rsid w:val="2F7B3843"/>
    <w:rsid w:val="2FCD5344"/>
    <w:rsid w:val="32717154"/>
    <w:rsid w:val="34B63260"/>
    <w:rsid w:val="358C3B21"/>
    <w:rsid w:val="367F287D"/>
    <w:rsid w:val="37FDA7E2"/>
    <w:rsid w:val="399676B9"/>
    <w:rsid w:val="3A314D88"/>
    <w:rsid w:val="3A746883"/>
    <w:rsid w:val="3B126DD6"/>
    <w:rsid w:val="3C8E6B92"/>
    <w:rsid w:val="3CA15DE9"/>
    <w:rsid w:val="3CB5063B"/>
    <w:rsid w:val="3F621C51"/>
    <w:rsid w:val="3FD3348A"/>
    <w:rsid w:val="3FE61EE5"/>
    <w:rsid w:val="406508EE"/>
    <w:rsid w:val="408D6263"/>
    <w:rsid w:val="41B40CEE"/>
    <w:rsid w:val="41FC476F"/>
    <w:rsid w:val="42B44712"/>
    <w:rsid w:val="44036195"/>
    <w:rsid w:val="44AF6D16"/>
    <w:rsid w:val="46FF05A8"/>
    <w:rsid w:val="48317291"/>
    <w:rsid w:val="485F7024"/>
    <w:rsid w:val="48E70666"/>
    <w:rsid w:val="4C6877E5"/>
    <w:rsid w:val="4D6A468D"/>
    <w:rsid w:val="4E3051DD"/>
    <w:rsid w:val="4EA86137"/>
    <w:rsid w:val="56CA7FD0"/>
    <w:rsid w:val="57FA38D1"/>
    <w:rsid w:val="5AC626FB"/>
    <w:rsid w:val="5F7D3333"/>
    <w:rsid w:val="602C76E8"/>
    <w:rsid w:val="606042B7"/>
    <w:rsid w:val="61385890"/>
    <w:rsid w:val="67B41111"/>
    <w:rsid w:val="687436E1"/>
    <w:rsid w:val="696B48B5"/>
    <w:rsid w:val="6A710589"/>
    <w:rsid w:val="6DA45C50"/>
    <w:rsid w:val="6DEE5F16"/>
    <w:rsid w:val="6E9A7825"/>
    <w:rsid w:val="6F5B3020"/>
    <w:rsid w:val="6F670F9B"/>
    <w:rsid w:val="737450E0"/>
    <w:rsid w:val="74054476"/>
    <w:rsid w:val="742F38C4"/>
    <w:rsid w:val="74AB66DC"/>
    <w:rsid w:val="74C4154C"/>
    <w:rsid w:val="75956FFF"/>
    <w:rsid w:val="776A08EE"/>
    <w:rsid w:val="77AA2D01"/>
    <w:rsid w:val="7C52669D"/>
    <w:rsid w:val="7CDE1DBD"/>
    <w:rsid w:val="7CEF0A77"/>
    <w:rsid w:val="7D943A85"/>
    <w:rsid w:val="7DB0448C"/>
    <w:rsid w:val="7DF24B83"/>
    <w:rsid w:val="7E5F9AA4"/>
    <w:rsid w:val="8FFC8888"/>
    <w:rsid w:val="A7F73C99"/>
    <w:rsid w:val="BFFE3BF4"/>
    <w:rsid w:val="DFEBDA37"/>
    <w:rsid w:val="EF6FCA1D"/>
    <w:rsid w:val="EFFF57D6"/>
    <w:rsid w:val="FD33A2D0"/>
    <w:rsid w:val="FF7FA20F"/>
    <w:rsid w:val="FFFE81A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7186</Words>
  <Characters>10522</Characters>
  <Lines>67</Lines>
  <Paragraphs>18</Paragraphs>
  <TotalTime>2</TotalTime>
  <ScaleCrop>false</ScaleCrop>
  <LinksUpToDate>false</LinksUpToDate>
  <CharactersWithSpaces>10608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2024-07-24T03:26:00Z</dcterms:created>
  <dc:creator>uos</dc:creator>
  <cp:lastModifiedBy>Administrator</cp:lastModifiedBy>
  <cp:lastPrinted>2023-08-03T00:58:00Z</cp:lastPrinted>
  <dcterms:modified xsi:type="dcterms:W3CDTF">2025-10-10T03:42:48Z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