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000000" w:themeColor="text1"/>
          <w:sz w:val="44"/>
          <w:szCs w:val="44"/>
        </w:rPr>
      </w:pPr>
      <w:r>
        <w:rPr>
          <w:rFonts w:hint="eastAsia" w:asciiTheme="majorEastAsia" w:hAnsiTheme="majorEastAsia" w:eastAsiaTheme="majorEastAsia" w:cstheme="majorEastAsia"/>
          <w:b/>
          <w:bCs/>
          <w:color w:val="000000" w:themeColor="text1"/>
          <w:sz w:val="44"/>
          <w:szCs w:val="44"/>
        </w:rPr>
        <w:t>色尼区区委办机关2024年度</w:t>
      </w:r>
    </w:p>
    <w:p>
      <w:pPr>
        <w:spacing w:line="578" w:lineRule="exact"/>
        <w:jc w:val="center"/>
        <w:rPr>
          <w:rFonts w:asciiTheme="majorEastAsia" w:hAnsiTheme="majorEastAsia" w:eastAsiaTheme="majorEastAsia" w:cstheme="majorEastAsia"/>
          <w:b/>
          <w:bCs/>
          <w:color w:val="000000" w:themeColor="text1"/>
          <w:sz w:val="44"/>
          <w:szCs w:val="44"/>
        </w:rPr>
      </w:pPr>
      <w:r>
        <w:rPr>
          <w:rFonts w:hint="eastAsia" w:asciiTheme="majorEastAsia" w:hAnsiTheme="majorEastAsia" w:eastAsiaTheme="majorEastAsia" w:cstheme="majorEastAsia"/>
          <w:b/>
          <w:bCs/>
          <w:color w:val="000000" w:themeColor="text1"/>
          <w:sz w:val="44"/>
          <w:szCs w:val="44"/>
        </w:rPr>
        <w:t>部门决算公开报告</w:t>
      </w:r>
    </w:p>
    <w:p>
      <w:pPr>
        <w:spacing w:line="578" w:lineRule="exact"/>
        <w:jc w:val="center"/>
        <w:rPr>
          <w:rFonts w:ascii="黑体" w:hAnsi="ˎ̥" w:eastAsia="黑体"/>
          <w:b/>
          <w:color w:val="000000" w:themeColor="text1"/>
          <w:sz w:val="32"/>
          <w:szCs w:val="32"/>
        </w:rPr>
      </w:pPr>
    </w:p>
    <w:p>
      <w:pPr>
        <w:spacing w:line="578" w:lineRule="exact"/>
        <w:jc w:val="center"/>
        <w:rPr>
          <w:rFonts w:ascii="黑体" w:hAnsi="黑体" w:eastAsia="黑体" w:cs="黑体"/>
          <w:color w:val="000000" w:themeColor="text1"/>
          <w:sz w:val="44"/>
          <w:szCs w:val="44"/>
        </w:rPr>
      </w:pPr>
      <w:bookmarkStart w:id="0" w:name="_Toc11440_WPSOffice_Type2"/>
      <w:r>
        <w:rPr>
          <w:rFonts w:hint="eastAsia" w:ascii="黑体" w:hAnsi="黑体" w:eastAsia="黑体" w:cs="黑体"/>
          <w:color w:val="000000" w:themeColor="text1"/>
          <w:sz w:val="44"/>
          <w:szCs w:val="44"/>
        </w:rPr>
        <w:t>目  录</w:t>
      </w:r>
    </w:p>
    <w:p>
      <w:pPr>
        <w:pStyle w:val="16"/>
        <w:tabs>
          <w:tab w:val="right" w:leader="dot" w:pos="8306"/>
        </w:tabs>
        <w:spacing w:line="578" w:lineRule="exact"/>
        <w:rPr>
          <w:color w:val="000000" w:themeColor="text1"/>
          <w:sz w:val="32"/>
          <w:szCs w:val="32"/>
        </w:rPr>
      </w:pPr>
      <w:r>
        <w:fldChar w:fldCharType="begin"/>
      </w:r>
      <w:r>
        <w:instrText xml:space="preserve"> HYPERLINK \l "_Toc1704_WPSOffice_Level1" </w:instrText>
      </w:r>
      <w:r>
        <w:fldChar w:fldCharType="separate"/>
      </w:r>
      <w:r>
        <w:rPr>
          <w:rFonts w:hint="eastAsia" w:ascii="黑体" w:hAnsi="ˎ̥" w:eastAsia="黑体"/>
          <w:color w:val="000000" w:themeColor="text1"/>
          <w:sz w:val="32"/>
          <w:szCs w:val="32"/>
        </w:rPr>
        <w:t>第一部分 基本情况</w:t>
      </w:r>
      <w:r>
        <w:rPr>
          <w:color w:val="000000" w:themeColor="text1"/>
          <w:sz w:val="32"/>
          <w:szCs w:val="32"/>
        </w:rPr>
        <w:tab/>
      </w:r>
      <w:r>
        <w:rPr>
          <w:color w:val="000000" w:themeColor="text1"/>
          <w:sz w:val="32"/>
          <w:szCs w:val="32"/>
        </w:rPr>
        <w:fldChar w:fldCharType="end"/>
      </w:r>
      <w:r>
        <w:rPr>
          <w:rFonts w:hint="eastAsia"/>
          <w:color w:val="000000" w:themeColor="text1"/>
          <w:sz w:val="32"/>
          <w:szCs w:val="32"/>
        </w:rPr>
        <w:t>2</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"_Toc20274_WPSOffice_Level2" </w:instrText>
      </w:r>
      <w:r>
        <w:fldChar w:fldCharType="separate"/>
      </w:r>
      <w:r>
        <w:rPr>
          <w:rFonts w:hint="eastAsia" w:ascii="仿宋" w:hAnsi="仿宋" w:eastAsia="仿宋" w:cs="仿宋"/>
          <w:color w:val="000000" w:themeColor="text1"/>
          <w:sz w:val="32"/>
          <w:szCs w:val="32"/>
        </w:rPr>
        <w:t>一、部门（单位）职责</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2</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"_Toc4833_WPSOffice_Level2" </w:instrText>
      </w:r>
      <w:r>
        <w:fldChar w:fldCharType="separate"/>
      </w:r>
      <w:r>
        <w:rPr>
          <w:rFonts w:hint="eastAsia" w:ascii="仿宋" w:hAnsi="仿宋" w:eastAsia="仿宋" w:cs="仿宋"/>
          <w:color w:val="000000" w:themeColor="text1"/>
          <w:sz w:val="32"/>
          <w:szCs w:val="32"/>
        </w:rPr>
        <w:t>二、机构设置</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2</w:t>
      </w:r>
    </w:p>
    <w:p>
      <w:pPr>
        <w:pStyle w:val="16"/>
        <w:tabs>
          <w:tab w:val="right" w:leader="dot" w:pos="8306"/>
        </w:tabs>
        <w:spacing w:line="578" w:lineRule="exact"/>
        <w:rPr>
          <w:color w:val="000000" w:themeColor="text1"/>
          <w:sz w:val="32"/>
          <w:szCs w:val="32"/>
        </w:rPr>
      </w:pPr>
      <w:r>
        <w:fldChar w:fldCharType="begin"/>
      </w:r>
      <w:r>
        <w:instrText xml:space="preserve"> HYPERLINK \l "_Toc28253_WPSOffice_Level1" </w:instrText>
      </w:r>
      <w:r>
        <w:fldChar w:fldCharType="separate"/>
      </w:r>
      <w:r>
        <w:rPr>
          <w:rFonts w:hint="eastAsia" w:ascii="黑体" w:hAnsi="ˎ̥" w:eastAsia="黑体"/>
          <w:color w:val="000000" w:themeColor="text1"/>
          <w:sz w:val="32"/>
          <w:szCs w:val="32"/>
        </w:rPr>
        <w:t xml:space="preserve">第二部分  </w:t>
      </w:r>
      <w:r>
        <w:rPr>
          <w:rFonts w:ascii="黑体" w:hAnsi="ˎ̥" w:eastAsia="黑体"/>
          <w:color w:val="000000" w:themeColor="text1"/>
          <w:sz w:val="32"/>
          <w:szCs w:val="32"/>
        </w:rPr>
        <w:t>2024</w:t>
      </w:r>
      <w:r>
        <w:rPr>
          <w:rFonts w:hint="eastAsia" w:ascii="黑体" w:hAnsi="ˎ̥" w:eastAsia="黑体"/>
          <w:color w:val="000000" w:themeColor="text1"/>
          <w:sz w:val="32"/>
          <w:szCs w:val="32"/>
        </w:rPr>
        <w:t>年度部门决算公开表</w:t>
      </w:r>
      <w:r>
        <w:rPr>
          <w:color w:val="000000" w:themeColor="text1"/>
          <w:sz w:val="32"/>
          <w:szCs w:val="32"/>
        </w:rPr>
        <w:tab/>
      </w:r>
      <w:r>
        <w:rPr>
          <w:color w:val="000000" w:themeColor="text1"/>
          <w:sz w:val="32"/>
          <w:szCs w:val="32"/>
        </w:rPr>
        <w:fldChar w:fldCharType="end"/>
      </w:r>
      <w:r>
        <w:rPr>
          <w:rFonts w:hint="eastAsia"/>
          <w:color w:val="000000" w:themeColor="text1"/>
          <w:sz w:val="32"/>
          <w:szCs w:val="32"/>
        </w:rPr>
        <w:t>2</w:t>
      </w:r>
    </w:p>
    <w:p>
      <w:pPr>
        <w:pStyle w:val="16"/>
        <w:tabs>
          <w:tab w:val="right" w:leader="dot" w:pos="8306"/>
        </w:tabs>
        <w:spacing w:line="578" w:lineRule="exact"/>
        <w:rPr>
          <w:color w:val="000000" w:themeColor="text1"/>
          <w:sz w:val="32"/>
          <w:szCs w:val="32"/>
        </w:rPr>
      </w:pPr>
      <w:r>
        <w:fldChar w:fldCharType="begin"/>
      </w:r>
      <w:r>
        <w:instrText xml:space="preserve"> HYPERLINK \l "_Toc27590_WPSOffice_Level1" </w:instrText>
      </w:r>
      <w:r>
        <w:fldChar w:fldCharType="separate"/>
      </w:r>
      <w:r>
        <w:rPr>
          <w:rFonts w:hint="eastAsia" w:ascii="黑体" w:hAnsi="黑体" w:eastAsia="黑体" w:cs="黑体"/>
          <w:color w:val="000000" w:themeColor="text1"/>
          <w:sz w:val="32"/>
          <w:szCs w:val="32"/>
        </w:rPr>
        <w:t>第三部分</w:t>
      </w:r>
      <w:r>
        <w:rPr>
          <w:rFonts w:hint="eastAsia"/>
          <w:color w:val="000000" w:themeColor="text1"/>
          <w:sz w:val="32"/>
          <w:szCs w:val="32"/>
        </w:rPr>
        <w:t xml:space="preserve">  </w:t>
      </w:r>
      <w:r>
        <w:rPr>
          <w:rFonts w:ascii="黑体" w:hAnsi="ˎ̥" w:eastAsia="黑体"/>
          <w:color w:val="000000" w:themeColor="text1"/>
          <w:sz w:val="32"/>
          <w:szCs w:val="32"/>
        </w:rPr>
        <w:t>2024</w:t>
      </w:r>
      <w:r>
        <w:rPr>
          <w:rFonts w:hint="eastAsia" w:ascii="黑体" w:hAnsi="ˎ̥" w:eastAsia="黑体"/>
          <w:color w:val="000000" w:themeColor="text1"/>
          <w:sz w:val="32"/>
          <w:szCs w:val="32"/>
        </w:rPr>
        <w:t>年度部门决算情况说明</w:t>
      </w:r>
      <w:r>
        <w:rPr>
          <w:color w:val="000000" w:themeColor="text1"/>
          <w:sz w:val="32"/>
          <w:szCs w:val="32"/>
        </w:rPr>
        <w:tab/>
      </w:r>
      <w:r>
        <w:rPr>
          <w:color w:val="000000" w:themeColor="text1"/>
          <w:sz w:val="32"/>
          <w:szCs w:val="32"/>
        </w:rPr>
        <w:fldChar w:fldCharType="end"/>
      </w:r>
      <w:r>
        <w:rPr>
          <w:rFonts w:hint="eastAsia"/>
          <w:color w:val="000000" w:themeColor="text1"/>
          <w:sz w:val="32"/>
          <w:szCs w:val="32"/>
        </w:rPr>
        <w:t>3</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"_Toc21737_WPSOffice_Level2" </w:instrText>
      </w:r>
      <w:r>
        <w:fldChar w:fldCharType="separate"/>
      </w:r>
      <w:r>
        <w:rPr>
          <w:rFonts w:hint="eastAsia" w:ascii="仿宋" w:hAnsi="仿宋" w:eastAsia="仿宋" w:cs="仿宋"/>
          <w:bCs/>
          <w:color w:val="000000" w:themeColor="text1"/>
          <w:sz w:val="32"/>
          <w:szCs w:val="32"/>
        </w:rPr>
        <w:t>一、收入支出总体情况说明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3</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themeColor="text1"/>
          <w:sz w:val="32"/>
          <w:szCs w:val="32"/>
        </w:rPr>
        <w:t>二、收入决算情况说明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4</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themeColor="text1"/>
          <w:sz w:val="32"/>
          <w:szCs w:val="32"/>
        </w:rPr>
        <w:t>三、支出决算情况说明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4</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themeColor="text1"/>
          <w:sz w:val="32"/>
          <w:szCs w:val="32"/>
        </w:rPr>
        <w:t>四、财政拨款收入支出决算总体情况说明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4</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themeColor="text1"/>
          <w:sz w:val="32"/>
          <w:szCs w:val="32"/>
        </w:rPr>
        <w:t>五、一般公共预算财政拨款支出决算情况说明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5</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themeColor="text1"/>
          <w:sz w:val="32"/>
          <w:szCs w:val="32"/>
        </w:rPr>
        <w:t>六、一般公共预算财政拨款基本支出决算情况说明</w:t>
      </w:r>
      <w:r>
        <w:rPr>
          <w:rFonts w:hint="eastAsia" w:ascii="仿宋" w:hAnsi="仿宋" w:eastAsia="仿宋" w:cs="仿宋"/>
          <w:bCs/>
          <w:color w:val="000000" w:themeColor="text1"/>
          <w:sz w:val="32"/>
          <w:szCs w:val="32"/>
        </w:rPr>
        <w:fldChar w:fldCharType="end"/>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t>6</w:t>
      </w:r>
    </w:p>
    <w:p>
      <w:pPr>
        <w:pStyle w:val="17"/>
        <w:numPr>
          <w:ilvl w:val="0"/>
          <w:numId w:val="1"/>
        </w:numPr>
        <w:tabs>
          <w:tab w:val="right" w:leader="dot" w:pos="8306"/>
        </w:tabs>
        <w:spacing w:line="578" w:lineRule="exact"/>
        <w:ind w:leftChars="0"/>
        <w:rPr>
          <w:rFonts w:ascii="仿宋" w:hAnsi="仿宋" w:eastAsia="仿宋" w:cs="仿宋"/>
          <w:color w:val="000000" w:themeColor="text1"/>
          <w:sz w:val="32"/>
          <w:szCs w:val="32"/>
        </w:rPr>
      </w:pPr>
      <w:r>
        <w:rPr>
          <w:rFonts w:hint="eastAsia" w:ascii="仿宋" w:hAnsi="仿宋" w:eastAsia="仿宋" w:cs="仿宋"/>
          <w:bCs/>
          <w:color w:val="000000" w:themeColor="text1"/>
          <w:sz w:val="32"/>
          <w:szCs w:val="32"/>
        </w:rPr>
        <w:t>政府性基金预算财政拨款支出决算情况说明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t>7</w:t>
      </w:r>
    </w:p>
    <w:p>
      <w:pPr>
        <w:pStyle w:val="17"/>
        <w:numPr>
          <w:ilvl w:val="0"/>
          <w:numId w:val="1"/>
        </w:numPr>
        <w:tabs>
          <w:tab w:val="right" w:leader="dot" w:pos="8306"/>
        </w:tabs>
        <w:spacing w:line="578" w:lineRule="exact"/>
        <w:ind w:leftChars="0"/>
        <w:rPr>
          <w:rFonts w:ascii="仿宋" w:hAnsi="仿宋" w:eastAsia="仿宋" w:cs="仿宋"/>
          <w:color w:val="000000" w:themeColor="text1"/>
          <w:sz w:val="32"/>
          <w:szCs w:val="32"/>
        </w:rPr>
      </w:pPr>
      <w:r>
        <w:rPr>
          <w:rFonts w:hint="eastAsia" w:ascii="仿宋" w:hAnsi="仿宋" w:eastAsia="仿宋" w:cs="仿宋"/>
          <w:bCs/>
          <w:color w:val="000000" w:themeColor="text1"/>
          <w:sz w:val="32"/>
          <w:szCs w:val="32"/>
        </w:rPr>
        <w:t>国有资本经营预算财政拨款支出决算情况说明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t>8</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themeColor="text1"/>
          <w:sz w:val="32"/>
          <w:szCs w:val="32"/>
        </w:rPr>
        <w:t>九、财政拨款“三公”经费支出决算情况说明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9</w:t>
      </w:r>
    </w:p>
    <w:p>
      <w:pPr>
        <w:pStyle w:val="17"/>
        <w:tabs>
          <w:tab w:val="right" w:leader="dot" w:pos="8306"/>
        </w:tabs>
        <w:spacing w:line="578" w:lineRule="exact"/>
        <w:ind w:leftChars="0"/>
        <w:rPr>
          <w:rFonts w:ascii="仿宋" w:hAnsi="仿宋" w:eastAsia="仿宋" w:cs="仿宋"/>
          <w:color w:val="000000" w:themeColor="text1"/>
          <w:sz w:val="32"/>
          <w:szCs w:val="32"/>
        </w:rPr>
      </w:pPr>
      <w:r>
        <w:fldChar w:fldCharType="begin"/>
      </w:r>
      <w:r>
        <w:instrText xml:space="preserve"> HYPERLINK \l "_Toc19535_WPSOffice_Level2" </w:instrText>
      </w:r>
      <w:r>
        <w:fldChar w:fldCharType="separate"/>
      </w:r>
      <w:r>
        <w:rPr>
          <w:rFonts w:hint="eastAsia" w:ascii="仿宋" w:hAnsi="仿宋" w:eastAsia="仿宋" w:cs="仿宋"/>
          <w:bCs/>
          <w:color w:val="000000" w:themeColor="text1"/>
          <w:sz w:val="32"/>
          <w:szCs w:val="32"/>
        </w:rPr>
        <w:t>十、预算绩效情况说明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fldChar w:fldCharType="end"/>
      </w:r>
      <w:r>
        <w:rPr>
          <w:rFonts w:hint="eastAsia" w:ascii="仿宋" w:hAnsi="仿宋" w:eastAsia="仿宋" w:cs="仿宋"/>
          <w:color w:val="000000" w:themeColor="text1"/>
          <w:sz w:val="32"/>
          <w:szCs w:val="32"/>
        </w:rPr>
        <w:t>11</w:t>
      </w:r>
    </w:p>
    <w:p>
      <w:pPr>
        <w:pStyle w:val="17"/>
        <w:tabs>
          <w:tab w:val="right" w:leader="dot" w:pos="8306"/>
        </w:tabs>
        <w:spacing w:line="578" w:lineRule="exact"/>
        <w:ind w:leftChars="0"/>
        <w:rPr>
          <w:rFonts w:ascii="仿宋" w:hAnsi="仿宋" w:eastAsia="仿宋" w:cs="仿宋"/>
          <w:color w:val="000000" w:themeColor="text1"/>
          <w:sz w:val="32"/>
          <w:szCs w:val="32"/>
        </w:rPr>
      </w:pPr>
      <w:r>
        <w:rPr>
          <w:rFonts w:hint="eastAsia" w:ascii="仿宋" w:hAnsi="仿宋" w:eastAsia="仿宋" w:cs="仿宋"/>
          <w:bCs/>
          <w:color w:val="000000" w:themeColor="text1"/>
          <w:sz w:val="32"/>
          <w:szCs w:val="32"/>
        </w:rPr>
        <w:t>十一、其他重要事项情况说明</w:t>
      </w:r>
      <w:r>
        <w:rPr>
          <w:rFonts w:hint="eastAsia" w:ascii="仿宋" w:hAnsi="仿宋" w:eastAsia="仿宋" w:cs="仿宋"/>
          <w:color w:val="000000" w:themeColor="text1"/>
          <w:sz w:val="32"/>
          <w:szCs w:val="32"/>
        </w:rPr>
        <w:tab/>
      </w:r>
      <w:r>
        <w:rPr>
          <w:rFonts w:hint="eastAsia" w:ascii="仿宋" w:hAnsi="仿宋" w:eastAsia="仿宋" w:cs="仿宋"/>
          <w:color w:val="000000" w:themeColor="text1"/>
          <w:sz w:val="32"/>
          <w:szCs w:val="32"/>
        </w:rPr>
        <w:t>13</w:t>
      </w:r>
    </w:p>
    <w:p>
      <w:pPr>
        <w:pStyle w:val="16"/>
        <w:tabs>
          <w:tab w:val="right" w:leader="dot" w:pos="8306"/>
        </w:tabs>
        <w:spacing w:line="578" w:lineRule="exact"/>
        <w:rPr>
          <w:rFonts w:ascii="黑体" w:hAnsi="ˎ̥"/>
          <w:b/>
          <w:color w:val="000000" w:themeColor="text1"/>
          <w:sz w:val="32"/>
          <w:szCs w:val="32"/>
        </w:rPr>
      </w:pPr>
      <w:r>
        <w:fldChar w:fldCharType="begin"/>
      </w:r>
      <w:r>
        <w:instrText xml:space="preserve"> HYPERLINK \l "_Toc15425_WPSOffice_Level1" </w:instrText>
      </w:r>
      <w:r>
        <w:fldChar w:fldCharType="separate"/>
      </w:r>
      <w:r>
        <w:rPr>
          <w:rFonts w:hint="eastAsia" w:ascii="黑体" w:hAnsi="ˎ̥" w:eastAsia="黑体"/>
          <w:color w:val="000000" w:themeColor="text1"/>
          <w:sz w:val="32"/>
          <w:szCs w:val="32"/>
        </w:rPr>
        <w:t>第四部分  名词解释</w:t>
      </w:r>
      <w:r>
        <w:rPr>
          <w:color w:val="000000" w:themeColor="text1"/>
          <w:sz w:val="32"/>
          <w:szCs w:val="32"/>
        </w:rPr>
        <w:tab/>
      </w:r>
      <w:bookmarkStart w:id="1" w:name="_Toc15425_WPSOffice_Level1Page"/>
      <w:r>
        <w:rPr>
          <w:color w:val="000000" w:themeColor="text1"/>
          <w:sz w:val="32"/>
          <w:szCs w:val="32"/>
        </w:rPr>
        <w:t>1</w:t>
      </w:r>
      <w:bookmarkEnd w:id="1"/>
      <w:r>
        <w:rPr>
          <w:color w:val="000000" w:themeColor="text1"/>
          <w:sz w:val="32"/>
          <w:szCs w:val="32"/>
        </w:rPr>
        <w:fldChar w:fldCharType="end"/>
      </w:r>
      <w:bookmarkEnd w:id="0"/>
      <w:r>
        <w:rPr>
          <w:rFonts w:hint="eastAsia"/>
          <w:color w:val="000000" w:themeColor="text1"/>
          <w:sz w:val="32"/>
          <w:szCs w:val="32"/>
        </w:rPr>
        <w:t>5</w:t>
      </w:r>
    </w:p>
    <w:p>
      <w:pPr>
        <w:spacing w:line="578" w:lineRule="exact"/>
        <w:rPr>
          <w:rFonts w:ascii="黑体" w:hAnsi="ˎ̥" w:eastAsia="黑体"/>
          <w:color w:val="000000" w:themeColor="text1"/>
          <w:sz w:val="32"/>
          <w:szCs w:val="32"/>
        </w:rPr>
      </w:pPr>
      <w:bookmarkStart w:id="2" w:name="_Toc10049_WPSOffice_Level1"/>
      <w:bookmarkStart w:id="3" w:name="_Toc10720_WPSOffice_Level1"/>
      <w:bookmarkStart w:id="4" w:name="_Toc1704_WPSOffice_Level1"/>
      <w:bookmarkStart w:id="5" w:name="_Toc22941_WPSOffice_Level1"/>
      <w:bookmarkStart w:id="6" w:name="_Toc32433_WPSOffice_Level1"/>
      <w:bookmarkStart w:id="7" w:name="_Toc23465_WPSOffice_Level1"/>
      <w:bookmarkStart w:id="8" w:name="_Toc24238_WPSOffice_Level2"/>
      <w:bookmarkStart w:id="9" w:name="_Toc26580_WPSOffice_Level2"/>
      <w:bookmarkStart w:id="10" w:name="_Toc32622_WPSOffice_Level2"/>
      <w:bookmarkStart w:id="11" w:name="_Toc14159_WPSOffice_Level2"/>
      <w:bookmarkStart w:id="12" w:name="_Toc20205_WPSOffice_Level2"/>
      <w:bookmarkStart w:id="13" w:name="_Toc20274_WPSOffice_Level2"/>
    </w:p>
    <w:p>
      <w:pPr>
        <w:spacing w:line="578" w:lineRule="exact"/>
        <w:jc w:val="center"/>
        <w:rPr>
          <w:rFonts w:ascii="黑体" w:hAnsi="ˎ̥" w:eastAsia="黑体"/>
          <w:color w:val="000000" w:themeColor="text1"/>
          <w:sz w:val="32"/>
          <w:szCs w:val="32"/>
        </w:rPr>
      </w:pPr>
      <w:r>
        <w:rPr>
          <w:rFonts w:hint="eastAsia" w:ascii="黑体" w:hAnsi="ˎ̥" w:eastAsia="黑体"/>
          <w:color w:val="000000" w:themeColor="text1"/>
          <w:sz w:val="32"/>
          <w:szCs w:val="32"/>
        </w:rPr>
        <w:t xml:space="preserve">第一部分  </w:t>
      </w:r>
      <w:bookmarkEnd w:id="2"/>
      <w:bookmarkEnd w:id="3"/>
      <w:bookmarkEnd w:id="4"/>
      <w:bookmarkEnd w:id="5"/>
      <w:bookmarkEnd w:id="6"/>
      <w:bookmarkEnd w:id="7"/>
      <w:r>
        <w:rPr>
          <w:rFonts w:hint="eastAsia" w:ascii="黑体" w:hAnsi="ˎ̥" w:eastAsia="黑体"/>
          <w:color w:val="000000" w:themeColor="text1"/>
          <w:sz w:val="32"/>
          <w:szCs w:val="32"/>
        </w:rPr>
        <w:t>基本情况</w:t>
      </w:r>
    </w:p>
    <w:p>
      <w:pPr>
        <w:spacing w:line="578" w:lineRule="exact"/>
        <w:ind w:firstLine="640" w:firstLineChars="200"/>
        <w:rPr>
          <w:rFonts w:hint="eastAsia" w:ascii="黑体" w:hAnsi="黑体" w:eastAsia="黑体" w:cs="黑体"/>
          <w:color w:val="000000" w:themeColor="text1"/>
          <w:sz w:val="32"/>
          <w:szCs w:val="32"/>
        </w:rPr>
      </w:pPr>
    </w:p>
    <w:p>
      <w:pPr>
        <w:spacing w:line="578"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一、部门</w:t>
      </w:r>
      <w:bookmarkEnd w:id="8"/>
      <w:r>
        <w:rPr>
          <w:rFonts w:hint="eastAsia" w:ascii="黑体" w:hAnsi="黑体" w:eastAsia="黑体" w:cs="黑体"/>
          <w:color w:val="000000" w:themeColor="text1"/>
          <w:sz w:val="32"/>
          <w:szCs w:val="32"/>
        </w:rPr>
        <w:t>（单位）职责</w:t>
      </w:r>
      <w:bookmarkEnd w:id="9"/>
      <w:bookmarkEnd w:id="10"/>
      <w:bookmarkEnd w:id="11"/>
      <w:bookmarkEnd w:id="12"/>
      <w:bookmarkEnd w:id="13"/>
    </w:p>
    <w:p>
      <w:pPr>
        <w:snapToGrid w:val="0"/>
        <w:spacing w:line="520" w:lineRule="exact"/>
        <w:ind w:firstLine="640" w:firstLineChars="200"/>
        <w:rPr>
          <w:rFonts w:ascii="仿宋_GB2312" w:hAnsi="ˎ̥" w:eastAsia="仿宋_GB2312"/>
          <w:sz w:val="32"/>
          <w:szCs w:val="32"/>
        </w:rPr>
      </w:pPr>
      <w:r>
        <w:rPr>
          <w:rFonts w:hint="eastAsia" w:ascii="仿宋_GB2312" w:hAnsi="ˎ̥" w:eastAsia="仿宋_GB2312"/>
          <w:sz w:val="32"/>
          <w:szCs w:val="32"/>
        </w:rPr>
        <w:t>中共那曲市色尼区委员会办公室（以下简称区委办）是区委的综合部门，为正科级，负责推动区委决策部署的落实，按照区委要求协调有关方面开展工作，承担区委运行保障具体事宜。</w:t>
      </w:r>
    </w:p>
    <w:p>
      <w:pPr>
        <w:snapToGrid w:val="0"/>
        <w:spacing w:line="52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区委办主要职责是：</w:t>
      </w:r>
    </w:p>
    <w:p>
      <w:pPr>
        <w:snapToGrid w:val="0"/>
        <w:spacing w:line="52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一是负责起草或组织以区委或区委办公室名义向市委或市委办公室报送的综合性材料。负责起草或组织起草以区委或区委办公室名义印发的党内法规和规范性文件。负责区委和区委领导同志的文稿服务工作。保证区委日常工作正常运转。</w:t>
      </w:r>
    </w:p>
    <w:p>
      <w:pPr>
        <w:snapToGrid w:val="0"/>
        <w:spacing w:line="52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二是负责中央、自治区党委、市委及区委重大方针政策、重要工作部署、重要会议、文件精神贯彻落实情况的督促检查。负责区委、区政府领导同志重要指示、批示的督办，统筹协调人大代表建议、政协提案办复工作。</w:t>
      </w:r>
    </w:p>
    <w:p>
      <w:pPr>
        <w:snapToGrid w:val="0"/>
        <w:spacing w:line="52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三是负责区委常委会会议等各类重要会议的会务工作。负责协调安排区委领导的各类重要公务活动。</w:t>
      </w:r>
    </w:p>
    <w:p>
      <w:pPr>
        <w:snapToGrid w:val="0"/>
        <w:spacing w:line="52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四是负责机要保密相关工作。</w:t>
      </w:r>
    </w:p>
    <w:p>
      <w:pPr>
        <w:snapToGrid w:val="0"/>
        <w:spacing w:line="52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五是负责色尼区档案馆工作的统筹规划、宏观管理，对色尼区档案工作进行监督检查和业务指导。负责区（中）直机关、群团机关、企事业单位档案的接收、整理、保管、利用工作。</w:t>
      </w:r>
    </w:p>
    <w:p>
      <w:pPr>
        <w:snapToGrid w:val="0"/>
        <w:spacing w:line="52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六是贯彻落实党中央关于全面生化改革工作的方针政策和自治区党委、市委、区委的决策部署，贯彻落实区委对全面生化改革工作的统一领导，负责处理区委改革委的日常事务。六是统筹协调有关方面提出的色尼区中长期改革规划建议、改革方案和措施、年度工作要点。</w:t>
      </w:r>
    </w:p>
    <w:p>
      <w:pPr>
        <w:snapToGrid w:val="0"/>
        <w:spacing w:line="520"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七是协调、督促有关方面落实区委和区委改革委的决定事项、工作部署和要求。总结宣传改革工作经验。统筹组织区委改革委相关会议，组织起草有关重要文件和重要文稿。</w:t>
      </w:r>
    </w:p>
    <w:p>
      <w:pPr>
        <w:snapToGrid w:val="0"/>
        <w:spacing w:line="520" w:lineRule="exact"/>
        <w:ind w:firstLine="640" w:firstLineChars="200"/>
        <w:rPr>
          <w:rFonts w:hint="eastAsia" w:ascii="仿宋_GB2312" w:hAnsi="仿宋" w:eastAsia="仿宋_GB2312"/>
          <w:color w:val="FF0000"/>
          <w:sz w:val="32"/>
          <w:szCs w:val="32"/>
        </w:rPr>
      </w:pPr>
      <w:r>
        <w:rPr>
          <w:rFonts w:hint="eastAsia" w:ascii="仿宋_GB2312" w:hAnsi="ˎ̥" w:eastAsia="仿宋_GB2312"/>
          <w:sz w:val="32"/>
          <w:szCs w:val="32"/>
        </w:rPr>
        <w:t>八是管理区档案馆。九是完成区委、区委改革委交办的其他任务。</w:t>
      </w:r>
    </w:p>
    <w:p>
      <w:p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二、机构设置</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1.机构情况。</w:t>
      </w:r>
      <w:r>
        <w:rPr>
          <w:rFonts w:hint="eastAsia" w:ascii="仿宋_GB2312" w:hAnsi="ˎ̥" w:eastAsia="仿宋_GB2312"/>
          <w:sz w:val="32"/>
          <w:szCs w:val="32"/>
        </w:rPr>
        <w:t>区委办为基层预算单位，没有下属单位，单位内包括机要保密局、档案馆、督查室、党政信息中心、综合办、方志办、政研室室共7个科室</w:t>
      </w:r>
      <w:bookmarkStart w:id="14" w:name="_Toc25738_WPSOffice_Level2"/>
      <w:bookmarkStart w:id="15" w:name="_Toc24421_WPSOffice_Level2"/>
      <w:r>
        <w:rPr>
          <w:rFonts w:hint="eastAsia" w:ascii="仿宋_GB2312" w:hAnsi="ˎ̥" w:eastAsia="仿宋_GB2312"/>
          <w:sz w:val="32"/>
          <w:szCs w:val="32"/>
        </w:rPr>
        <w:t>，</w:t>
      </w:r>
      <w:r>
        <w:rPr>
          <w:rFonts w:hint="eastAsia" w:ascii="仿宋_GB2312" w:hAnsi="仿宋" w:eastAsia="仿宋_GB2312"/>
          <w:sz w:val="32"/>
          <w:szCs w:val="32"/>
        </w:rPr>
        <w:t>区委办加挂区委保密委员办公室、区国家保密局、区委机要局、区密码管理局、区档案局、区委改革办牌子，机构无变动。</w:t>
      </w:r>
    </w:p>
    <w:p>
      <w:pPr>
        <w:pStyle w:val="4"/>
        <w:ind w:firstLine="640" w:firstLineChars="200"/>
      </w:pPr>
      <w:r>
        <w:rPr>
          <w:rFonts w:hint="eastAsia" w:ascii="仿宋_GB2312" w:hAnsi="仿宋" w:eastAsia="仿宋_GB2312"/>
          <w:sz w:val="32"/>
          <w:szCs w:val="32"/>
        </w:rPr>
        <w:t>2</w:t>
      </w:r>
      <w:r>
        <w:rPr>
          <w:rFonts w:hAnsi="仿宋" w:eastAsia="仿宋_GB2312"/>
          <w:sz w:val="32"/>
          <w:szCs w:val="32"/>
        </w:rPr>
        <w:t>.</w:t>
      </w:r>
      <w:r>
        <w:rPr>
          <w:rFonts w:hint="eastAsia" w:ascii="仿宋_GB2312" w:hAnsi="仿宋" w:eastAsia="仿宋_GB2312"/>
          <w:sz w:val="32"/>
          <w:szCs w:val="32"/>
        </w:rPr>
        <w:t>人员情况。202</w:t>
      </w:r>
      <w:r>
        <w:rPr>
          <w:rFonts w:hAnsi="仿宋" w:eastAsia="仿宋_GB2312"/>
          <w:sz w:val="32"/>
          <w:szCs w:val="32"/>
        </w:rPr>
        <w:t>4</w:t>
      </w:r>
      <w:r>
        <w:rPr>
          <w:rFonts w:hint="eastAsia" w:ascii="仿宋_GB2312" w:hAnsi="仿宋" w:eastAsia="仿宋_GB2312"/>
          <w:sz w:val="32"/>
          <w:szCs w:val="32"/>
        </w:rPr>
        <w:t>年区委办在职人数2</w:t>
      </w:r>
      <w:r>
        <w:rPr>
          <w:rFonts w:hAnsi="仿宋" w:eastAsia="仿宋_GB2312"/>
          <w:sz w:val="32"/>
          <w:szCs w:val="32"/>
        </w:rPr>
        <w:t>2</w:t>
      </w:r>
      <w:r>
        <w:rPr>
          <w:rFonts w:hint="eastAsia" w:ascii="仿宋_GB2312" w:hAnsi="仿宋" w:eastAsia="仿宋_GB2312"/>
          <w:sz w:val="32"/>
          <w:szCs w:val="32"/>
        </w:rPr>
        <w:t>人，较去年</w:t>
      </w:r>
      <w:r>
        <w:rPr>
          <w:rFonts w:hint="eastAsia" w:hAnsi="仿宋" w:eastAsia="仿宋_GB2312"/>
          <w:sz w:val="32"/>
          <w:szCs w:val="32"/>
        </w:rPr>
        <w:t>减少</w:t>
      </w:r>
      <w:r>
        <w:rPr>
          <w:rFonts w:hAnsi="仿宋" w:eastAsia="仿宋_GB2312"/>
          <w:sz w:val="32"/>
          <w:szCs w:val="32"/>
        </w:rPr>
        <w:t>4</w:t>
      </w:r>
      <w:r>
        <w:rPr>
          <w:rFonts w:hint="eastAsia" w:ascii="仿宋_GB2312" w:hAnsi="仿宋" w:eastAsia="仿宋_GB2312"/>
          <w:sz w:val="32"/>
          <w:szCs w:val="32"/>
        </w:rPr>
        <w:t>人，原因是正常人员调整。</w:t>
      </w:r>
      <w:bookmarkEnd w:id="14"/>
      <w:bookmarkEnd w:id="15"/>
      <w:bookmarkStart w:id="16" w:name="_Toc30690_WPSOffice_Level1"/>
      <w:bookmarkStart w:id="17" w:name="_Toc8164_WPSOffice_Level1"/>
      <w:bookmarkStart w:id="18" w:name="_Toc6234_WPSOffice_Level1"/>
      <w:bookmarkStart w:id="19" w:name="_Toc30451_WPSOffice_Level1"/>
      <w:bookmarkStart w:id="20" w:name="_Toc28253_WPSOffice_Level1"/>
      <w:bookmarkStart w:id="21" w:name="_Toc15521_WPSOffice_Level1"/>
      <w:bookmarkStart w:id="22" w:name="_Toc11518_WPSOffice_Level2"/>
      <w:bookmarkStart w:id="23" w:name="_Toc4029_WPSOffice_Level2"/>
      <w:bookmarkStart w:id="24" w:name="_Toc32472_WPSOffice_Level2"/>
      <w:bookmarkStart w:id="25" w:name="_Toc6211_WPSOffice_Level2"/>
      <w:bookmarkStart w:id="26" w:name="_Toc8867_WPSOffice_Level2"/>
      <w:bookmarkStart w:id="27" w:name="_Toc32695_WPSOffice_Level2"/>
    </w:p>
    <w:p>
      <w:pPr>
        <w:spacing w:line="578" w:lineRule="exact"/>
        <w:jc w:val="center"/>
        <w:rPr>
          <w:rFonts w:ascii="黑体" w:hAnsi="黑体" w:eastAsia="黑体" w:cs="黑体"/>
          <w:color w:val="000000" w:themeColor="text1"/>
          <w:sz w:val="32"/>
          <w:szCs w:val="32"/>
        </w:rPr>
      </w:pPr>
      <w:r>
        <w:rPr>
          <w:rFonts w:hint="eastAsia" w:ascii="黑体" w:hAnsi="ˎ̥" w:eastAsia="黑体"/>
          <w:color w:val="000000" w:themeColor="text1"/>
          <w:sz w:val="32"/>
          <w:szCs w:val="32"/>
        </w:rPr>
        <w:t xml:space="preserve">第二部分  </w:t>
      </w:r>
      <w:r>
        <w:rPr>
          <w:rFonts w:ascii="黑体" w:hAnsi="ˎ̥" w:eastAsia="黑体"/>
          <w:color w:val="000000" w:themeColor="text1"/>
          <w:sz w:val="32"/>
          <w:szCs w:val="32"/>
        </w:rPr>
        <w:t>2024</w:t>
      </w:r>
      <w:r>
        <w:rPr>
          <w:rFonts w:hint="eastAsia" w:ascii="黑体" w:hAnsi="ˎ̥" w:eastAsia="黑体"/>
          <w:color w:val="000000" w:themeColor="text1"/>
          <w:sz w:val="32"/>
          <w:szCs w:val="32"/>
        </w:rPr>
        <w:t>年度部门决算公开报表</w:t>
      </w:r>
      <w:bookmarkEnd w:id="16"/>
      <w:bookmarkEnd w:id="17"/>
      <w:bookmarkEnd w:id="18"/>
      <w:bookmarkEnd w:id="19"/>
      <w:bookmarkEnd w:id="20"/>
      <w:bookmarkEnd w:id="21"/>
    </w:p>
    <w:p>
      <w:pPr>
        <w:spacing w:line="578" w:lineRule="exact"/>
        <w:ind w:firstLine="645"/>
        <w:rPr>
          <w:rFonts w:hint="eastAsia" w:ascii="黑体" w:hAnsi="黑体" w:eastAsia="黑体" w:cs="黑体"/>
          <w:color w:val="000000" w:themeColor="text1"/>
          <w:sz w:val="32"/>
          <w:szCs w:val="32"/>
        </w:rPr>
      </w:pPr>
    </w:p>
    <w:p>
      <w:pPr>
        <w:spacing w:line="578" w:lineRule="exact"/>
        <w:ind w:firstLine="645"/>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一、收入支出决算公开表</w:t>
      </w:r>
      <w:bookmarkEnd w:id="22"/>
      <w:bookmarkEnd w:id="23"/>
      <w:bookmarkEnd w:id="24"/>
      <w:bookmarkEnd w:id="25"/>
      <w:bookmarkEnd w:id="26"/>
      <w:bookmarkEnd w:id="27"/>
    </w:p>
    <w:p>
      <w:pPr>
        <w:spacing w:line="578" w:lineRule="exact"/>
        <w:ind w:firstLine="645"/>
        <w:rPr>
          <w:rFonts w:ascii="黑体" w:hAnsi="黑体" w:eastAsia="黑体" w:cs="黑体"/>
          <w:color w:val="000000" w:themeColor="text1"/>
          <w:sz w:val="32"/>
          <w:szCs w:val="32"/>
        </w:rPr>
      </w:pPr>
      <w:bookmarkStart w:id="28" w:name="_Toc23139_WPSOffice_Level2"/>
      <w:bookmarkStart w:id="29" w:name="_Toc28622_WPSOffice_Level2"/>
      <w:bookmarkStart w:id="30" w:name="_Toc14349_WPSOffice_Level2"/>
      <w:bookmarkStart w:id="31" w:name="_Toc26621_WPSOffice_Level2"/>
      <w:bookmarkStart w:id="32" w:name="_Toc30334_WPSOffice_Level2"/>
      <w:bookmarkStart w:id="33" w:name="_Toc25608_WPSOffice_Level2"/>
      <w:r>
        <w:rPr>
          <w:rFonts w:hint="eastAsia" w:ascii="黑体" w:hAnsi="黑体" w:eastAsia="黑体" w:cs="黑体"/>
          <w:color w:val="000000" w:themeColor="text1"/>
          <w:sz w:val="32"/>
          <w:szCs w:val="32"/>
        </w:rPr>
        <w:t>二、收入决算公开表</w:t>
      </w:r>
      <w:bookmarkEnd w:id="28"/>
      <w:bookmarkEnd w:id="29"/>
      <w:bookmarkEnd w:id="30"/>
      <w:bookmarkEnd w:id="31"/>
      <w:bookmarkEnd w:id="32"/>
      <w:bookmarkEnd w:id="33"/>
      <w:bookmarkStart w:id="34" w:name="_Toc17858_WPSOffice_Level2"/>
      <w:bookmarkStart w:id="35" w:name="_Toc13854_WPSOffice_Level2"/>
      <w:bookmarkStart w:id="36" w:name="_Toc5489_WPSOffice_Level2"/>
      <w:bookmarkStart w:id="37" w:name="_Toc17626_WPSOffice_Level2"/>
      <w:bookmarkStart w:id="38" w:name="_Toc14658_WPSOffice_Level2"/>
      <w:bookmarkStart w:id="39" w:name="_Toc3262_WPSOffice_Level2"/>
    </w:p>
    <w:p>
      <w:pPr>
        <w:spacing w:line="578" w:lineRule="exact"/>
        <w:ind w:firstLine="645"/>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三、支出决算公开表</w:t>
      </w:r>
      <w:bookmarkEnd w:id="34"/>
      <w:bookmarkEnd w:id="35"/>
      <w:bookmarkEnd w:id="36"/>
      <w:bookmarkEnd w:id="37"/>
      <w:bookmarkEnd w:id="38"/>
      <w:bookmarkEnd w:id="39"/>
      <w:bookmarkStart w:id="40" w:name="_Toc4265_WPSOffice_Level2"/>
      <w:bookmarkStart w:id="41" w:name="_Toc7988_WPSOffice_Level2"/>
      <w:bookmarkStart w:id="42" w:name="_Toc21415_WPSOffice_Level2"/>
      <w:bookmarkStart w:id="43" w:name="_Toc23591_WPSOffice_Level2"/>
      <w:bookmarkStart w:id="44" w:name="_Toc23493_WPSOffice_Level2"/>
      <w:bookmarkStart w:id="45" w:name="_Toc13701_WPSOffice_Level2"/>
    </w:p>
    <w:p>
      <w:pPr>
        <w:spacing w:line="578" w:lineRule="exact"/>
        <w:ind w:firstLine="645"/>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四、财政拨款收入支出决算公开表</w:t>
      </w:r>
      <w:bookmarkEnd w:id="40"/>
      <w:bookmarkEnd w:id="41"/>
      <w:bookmarkEnd w:id="42"/>
      <w:bookmarkEnd w:id="43"/>
      <w:bookmarkEnd w:id="44"/>
      <w:bookmarkEnd w:id="45"/>
    </w:p>
    <w:p>
      <w:pPr>
        <w:spacing w:line="578" w:lineRule="exact"/>
        <w:ind w:firstLine="645"/>
        <w:rPr>
          <w:rFonts w:ascii="黑体" w:hAnsi="黑体" w:eastAsia="黑体" w:cs="黑体"/>
          <w:color w:val="000000" w:themeColor="text1"/>
          <w:sz w:val="32"/>
          <w:szCs w:val="32"/>
        </w:rPr>
      </w:pPr>
      <w:bookmarkStart w:id="46" w:name="_Toc7879_WPSOffice_Level2"/>
      <w:bookmarkStart w:id="47" w:name="_Toc22783_WPSOffice_Level2"/>
      <w:bookmarkStart w:id="48" w:name="_Toc23829_WPSOffice_Level2"/>
      <w:bookmarkStart w:id="49" w:name="_Toc25166_WPSOffice_Level2"/>
      <w:bookmarkStart w:id="50" w:name="_Toc2158_WPSOffice_Level2"/>
      <w:bookmarkStart w:id="51" w:name="_Toc13516_WPSOffice_Level2"/>
      <w:r>
        <w:rPr>
          <w:rFonts w:hint="eastAsia" w:ascii="黑体" w:hAnsi="黑体" w:eastAsia="黑体" w:cs="黑体"/>
          <w:color w:val="000000" w:themeColor="text1"/>
          <w:sz w:val="32"/>
          <w:szCs w:val="32"/>
        </w:rPr>
        <w:t>五、一般公共预算财政拨款收入支出决算</w:t>
      </w:r>
      <w:bookmarkEnd w:id="46"/>
      <w:bookmarkEnd w:id="47"/>
      <w:bookmarkEnd w:id="48"/>
      <w:bookmarkEnd w:id="49"/>
      <w:r>
        <w:rPr>
          <w:rFonts w:hint="eastAsia" w:ascii="黑体" w:hAnsi="黑体" w:eastAsia="黑体" w:cs="黑体"/>
          <w:color w:val="000000" w:themeColor="text1"/>
          <w:sz w:val="32"/>
          <w:szCs w:val="32"/>
        </w:rPr>
        <w:t>公开表</w:t>
      </w:r>
      <w:bookmarkEnd w:id="50"/>
      <w:bookmarkEnd w:id="51"/>
      <w:bookmarkStart w:id="52" w:name="_Toc17833_WPSOffice_Level2"/>
      <w:bookmarkStart w:id="53" w:name="_Toc2632_WPSOffice_Level2"/>
      <w:bookmarkStart w:id="54" w:name="_Toc17283_WPSOffice_Level2"/>
      <w:bookmarkStart w:id="55" w:name="_Toc25362_WPSOffice_Level2"/>
      <w:bookmarkStart w:id="56" w:name="_Toc5343_WPSOffice_Level2"/>
      <w:bookmarkStart w:id="57" w:name="_Toc8373_WPSOffice_Level2"/>
    </w:p>
    <w:p>
      <w:pPr>
        <w:spacing w:line="578" w:lineRule="exact"/>
        <w:ind w:firstLine="645"/>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六、一般公共预算财政拨款基本支出决算</w:t>
      </w:r>
      <w:bookmarkEnd w:id="52"/>
      <w:bookmarkEnd w:id="53"/>
      <w:bookmarkEnd w:id="54"/>
      <w:bookmarkEnd w:id="55"/>
      <w:bookmarkEnd w:id="56"/>
      <w:bookmarkEnd w:id="57"/>
      <w:r>
        <w:rPr>
          <w:rFonts w:hint="eastAsia" w:ascii="黑体" w:hAnsi="黑体" w:eastAsia="黑体" w:cs="黑体"/>
          <w:color w:val="000000" w:themeColor="text1"/>
          <w:sz w:val="32"/>
          <w:szCs w:val="32"/>
        </w:rPr>
        <w:t>公开表</w:t>
      </w:r>
    </w:p>
    <w:p>
      <w:pPr>
        <w:spacing w:line="578" w:lineRule="exact"/>
        <w:ind w:left="1118" w:leftChars="304" w:hanging="480" w:hangingChars="150"/>
        <w:rPr>
          <w:rFonts w:ascii="黑体" w:hAnsi="黑体" w:eastAsia="黑体" w:cs="黑体"/>
          <w:color w:val="000000" w:themeColor="text1"/>
          <w:sz w:val="32"/>
          <w:szCs w:val="32"/>
        </w:rPr>
      </w:pPr>
      <w:bookmarkStart w:id="58" w:name="_Toc5594_WPSOffice_Level2"/>
      <w:bookmarkStart w:id="59" w:name="_Toc13345_WPSOffice_Level2"/>
      <w:bookmarkStart w:id="60" w:name="_Toc1533_WPSOffice_Level2"/>
      <w:bookmarkStart w:id="61" w:name="_Toc6020_WPSOffice_Level2"/>
      <w:bookmarkStart w:id="62" w:name="_Toc11799_WPSOffice_Level2"/>
      <w:bookmarkStart w:id="63" w:name="_Toc21310_WPSOffice_Level2"/>
      <w:r>
        <w:rPr>
          <w:rFonts w:hint="eastAsia" w:ascii="黑体" w:hAnsi="黑体" w:eastAsia="黑体" w:cs="黑体"/>
          <w:color w:val="000000" w:themeColor="text1"/>
          <w:sz w:val="32"/>
          <w:szCs w:val="32"/>
        </w:rPr>
        <w:t>七、政府性基金预算财政拨款收入支出决算</w:t>
      </w:r>
      <w:bookmarkEnd w:id="58"/>
      <w:bookmarkEnd w:id="59"/>
      <w:bookmarkEnd w:id="60"/>
      <w:bookmarkEnd w:id="61"/>
      <w:bookmarkEnd w:id="62"/>
      <w:bookmarkEnd w:id="63"/>
      <w:r>
        <w:rPr>
          <w:rFonts w:hint="eastAsia" w:ascii="黑体" w:hAnsi="黑体" w:eastAsia="黑体" w:cs="黑体"/>
          <w:color w:val="000000" w:themeColor="text1"/>
          <w:sz w:val="32"/>
          <w:szCs w:val="32"/>
        </w:rPr>
        <w:t>公开表</w:t>
      </w:r>
    </w:p>
    <w:p>
      <w:pPr>
        <w:spacing w:line="578" w:lineRule="exact"/>
        <w:ind w:left="1118" w:leftChars="304" w:hanging="480" w:hangingChars="15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八、国有资本经营预算财政拨款收入支出决算公开表</w:t>
      </w:r>
    </w:p>
    <w:p>
      <w:pPr>
        <w:spacing w:line="578" w:lineRule="exact"/>
        <w:ind w:firstLine="640"/>
        <w:rPr>
          <w:rFonts w:ascii="黑体" w:hAnsi="黑体" w:eastAsia="黑体" w:cs="黑体"/>
          <w:color w:val="000000" w:themeColor="text1"/>
          <w:sz w:val="32"/>
          <w:szCs w:val="32"/>
        </w:rPr>
      </w:pPr>
      <w:bookmarkStart w:id="64" w:name="_Toc29886_WPSOffice_Level2"/>
      <w:bookmarkStart w:id="65" w:name="_Toc19961_WPSOffice_Level2"/>
      <w:bookmarkStart w:id="66" w:name="_Toc9377_WPSOffice_Level2"/>
      <w:bookmarkStart w:id="67" w:name="_Toc1820_WPSOffice_Level2"/>
      <w:r>
        <w:rPr>
          <w:rFonts w:hint="eastAsia" w:ascii="黑体" w:hAnsi="黑体" w:eastAsia="黑体" w:cs="黑体"/>
          <w:color w:val="000000" w:themeColor="text1"/>
          <w:sz w:val="32"/>
          <w:szCs w:val="32"/>
        </w:rPr>
        <w:t>九、财政拨款“三公”经费支出决算</w:t>
      </w:r>
      <w:bookmarkEnd w:id="64"/>
      <w:bookmarkEnd w:id="65"/>
      <w:bookmarkEnd w:id="66"/>
      <w:bookmarkEnd w:id="67"/>
      <w:r>
        <w:rPr>
          <w:rFonts w:hint="eastAsia" w:ascii="黑体" w:hAnsi="黑体" w:eastAsia="黑体" w:cs="黑体"/>
          <w:color w:val="000000" w:themeColor="text1"/>
          <w:sz w:val="32"/>
          <w:szCs w:val="32"/>
        </w:rPr>
        <w:t>公开表</w:t>
      </w:r>
    </w:p>
    <w:p>
      <w:pPr>
        <w:spacing w:line="578" w:lineRule="exact"/>
        <w:ind w:firstLine="64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以上报表见附件1。   </w:t>
      </w:r>
    </w:p>
    <w:p>
      <w:pPr>
        <w:spacing w:line="578" w:lineRule="exact"/>
        <w:rPr>
          <w:rFonts w:ascii="黑体" w:hAnsi="黑体" w:eastAsia="黑体" w:cs="黑体"/>
          <w:color w:val="000000" w:themeColor="text1"/>
          <w:sz w:val="32"/>
          <w:szCs w:val="32"/>
        </w:rPr>
      </w:pPr>
    </w:p>
    <w:p>
      <w:pPr>
        <w:spacing w:line="578" w:lineRule="exact"/>
        <w:jc w:val="center"/>
        <w:rPr>
          <w:rFonts w:ascii="黑体" w:hAnsi="ˎ̥" w:eastAsia="黑体"/>
          <w:color w:val="000000" w:themeColor="text1"/>
          <w:sz w:val="32"/>
          <w:szCs w:val="32"/>
        </w:rPr>
      </w:pPr>
      <w:bookmarkStart w:id="68" w:name="_Toc27590_WPSOffice_Level1"/>
      <w:bookmarkStart w:id="69" w:name="_Toc28629_WPSOffice_Level1"/>
      <w:bookmarkStart w:id="70" w:name="_Toc31264_WPSOffice_Level1"/>
      <w:bookmarkStart w:id="71" w:name="_Toc16686_WPSOffice_Level1"/>
      <w:bookmarkStart w:id="72" w:name="_Toc29683_WPSOffice_Level1"/>
      <w:bookmarkStart w:id="73" w:name="_Toc4402_WPSOffice_Level1"/>
      <w:r>
        <w:rPr>
          <w:rFonts w:hint="eastAsia" w:ascii="黑体" w:hAnsi="ˎ̥" w:eastAsia="黑体"/>
          <w:color w:val="000000" w:themeColor="text1"/>
          <w:sz w:val="32"/>
          <w:szCs w:val="32"/>
        </w:rPr>
        <w:t xml:space="preserve">第三部分  </w:t>
      </w:r>
      <w:r>
        <w:rPr>
          <w:rFonts w:ascii="黑体" w:hAnsi="ˎ̥" w:eastAsia="黑体"/>
          <w:color w:val="000000" w:themeColor="text1"/>
          <w:sz w:val="32"/>
          <w:szCs w:val="32"/>
        </w:rPr>
        <w:t>2024</w:t>
      </w:r>
      <w:r>
        <w:rPr>
          <w:rFonts w:hint="eastAsia" w:ascii="黑体" w:hAnsi="ˎ̥" w:eastAsia="黑体"/>
          <w:color w:val="000000" w:themeColor="text1"/>
          <w:sz w:val="32"/>
          <w:szCs w:val="32"/>
        </w:rPr>
        <w:t>年度部门决算情况说明</w:t>
      </w:r>
      <w:bookmarkEnd w:id="68"/>
      <w:bookmarkEnd w:id="69"/>
      <w:bookmarkEnd w:id="70"/>
      <w:bookmarkEnd w:id="71"/>
      <w:bookmarkEnd w:id="72"/>
      <w:bookmarkEnd w:id="73"/>
    </w:p>
    <w:p>
      <w:pPr>
        <w:spacing w:line="578" w:lineRule="exact"/>
        <w:jc w:val="center"/>
        <w:rPr>
          <w:rFonts w:ascii="黑体" w:hAnsi="ˎ̥" w:eastAsia="黑体"/>
          <w:color w:val="000000" w:themeColor="text1"/>
          <w:sz w:val="32"/>
          <w:szCs w:val="32"/>
        </w:rPr>
      </w:pPr>
    </w:p>
    <w:p>
      <w:pPr>
        <w:spacing w:line="578" w:lineRule="exact"/>
        <w:ind w:firstLine="640" w:firstLineChars="200"/>
        <w:rPr>
          <w:rFonts w:ascii="仿宋_GB2312" w:hAnsi="ˎ̥" w:eastAsia="仿宋_GB2312"/>
          <w:color w:val="000000" w:themeColor="text1"/>
          <w:sz w:val="32"/>
          <w:szCs w:val="32"/>
        </w:rPr>
      </w:pPr>
      <w:r>
        <w:rPr>
          <w:rFonts w:hint="eastAsia" w:ascii="黑体" w:hAnsi="黑体" w:eastAsia="黑体" w:cs="黑体"/>
          <w:bCs/>
          <w:color w:val="000000" w:themeColor="text1"/>
          <w:sz w:val="32"/>
          <w:szCs w:val="32"/>
        </w:rPr>
        <w:t>一、收入支出总体情况说明</w:t>
      </w:r>
      <w:r>
        <w:rPr>
          <w:rFonts w:hint="eastAsia" w:ascii="黑体" w:hAnsi="黑体" w:eastAsia="黑体" w:cs="黑体"/>
          <w:bCs/>
          <w:color w:val="000000" w:themeColor="text1"/>
          <w:sz w:val="32"/>
          <w:szCs w:val="32"/>
        </w:rPr>
        <w:br w:type="textWrapping"/>
      </w:r>
      <w:r>
        <w:rPr>
          <w:rFonts w:hint="eastAsia" w:ascii="楷体_GB2312" w:hAnsi="ˎ̥" w:eastAsia="楷体_GB2312"/>
          <w:color w:val="000000" w:themeColor="text1"/>
          <w:sz w:val="32"/>
          <w:szCs w:val="32"/>
        </w:rPr>
        <w:t xml:space="preserve">    </w:t>
      </w: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年度收入总计1044.34万元，支出总计1053.02万元，与</w:t>
      </w:r>
      <w:r>
        <w:rPr>
          <w:rFonts w:ascii="仿宋_GB2312" w:hAnsi="ˎ̥" w:eastAsia="仿宋_GB2312"/>
          <w:color w:val="000000" w:themeColor="text1"/>
          <w:sz w:val="32"/>
          <w:szCs w:val="32"/>
        </w:rPr>
        <w:t>2023</w:t>
      </w:r>
      <w:r>
        <w:rPr>
          <w:rFonts w:hint="eastAsia" w:ascii="仿宋_GB2312" w:hAnsi="ˎ̥" w:eastAsia="仿宋_GB2312"/>
          <w:color w:val="000000" w:themeColor="text1"/>
          <w:sz w:val="32"/>
          <w:szCs w:val="32"/>
        </w:rPr>
        <w:t>年度相比，收入减少58.48万元、支出减少105.08万元，分别下降5.3%、主要原因：区委办人员减少导致收入、支出相应减少。</w:t>
      </w:r>
    </w:p>
    <w:p>
      <w:pPr>
        <w:spacing w:line="578"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w:t>
      </w:r>
      <w:r>
        <w:rPr>
          <w:rFonts w:ascii="楷体" w:hAnsi="楷体" w:eastAsia="楷体" w:cs="楷体"/>
          <w:color w:val="000000" w:themeColor="text1"/>
          <w:sz w:val="32"/>
          <w:szCs w:val="32"/>
        </w:rPr>
        <w:t>）</w:t>
      </w:r>
      <w:r>
        <w:rPr>
          <w:rFonts w:hint="eastAsia" w:ascii="楷体" w:hAnsi="楷体" w:eastAsia="楷体" w:cs="楷体"/>
          <w:color w:val="000000" w:themeColor="text1"/>
          <w:sz w:val="32"/>
          <w:szCs w:val="32"/>
        </w:rPr>
        <w:t>收入</w:t>
      </w:r>
      <w:r>
        <w:rPr>
          <w:rFonts w:ascii="楷体" w:hAnsi="楷体" w:eastAsia="楷体" w:cs="楷体"/>
          <w:color w:val="000000" w:themeColor="text1"/>
          <w:sz w:val="32"/>
          <w:szCs w:val="32"/>
        </w:rPr>
        <w:t>总计</w:t>
      </w:r>
      <w:r>
        <w:rPr>
          <w:rFonts w:hint="eastAsia" w:ascii="楷体" w:hAnsi="楷体" w:eastAsia="楷体" w:cs="楷体"/>
          <w:color w:val="000000" w:themeColor="text1"/>
          <w:sz w:val="32"/>
          <w:szCs w:val="32"/>
        </w:rPr>
        <w:t>主要</w:t>
      </w:r>
      <w:r>
        <w:rPr>
          <w:rFonts w:ascii="楷体" w:hAnsi="楷体" w:eastAsia="楷体" w:cs="楷体"/>
          <w:color w:val="000000" w:themeColor="text1"/>
          <w:sz w:val="32"/>
          <w:szCs w:val="32"/>
        </w:rPr>
        <w:t>构成</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本年</w:t>
      </w:r>
      <w:r>
        <w:rPr>
          <w:rFonts w:ascii="仿宋_GB2312" w:hAnsi="ˎ̥" w:eastAsia="仿宋_GB2312"/>
          <w:color w:val="000000" w:themeColor="text1"/>
          <w:sz w:val="32"/>
          <w:szCs w:val="32"/>
        </w:rPr>
        <w:t>收入1,044.34</w:t>
      </w:r>
      <w:r>
        <w:rPr>
          <w:rFonts w:hint="eastAsia" w:ascii="仿宋_GB2312" w:hAnsi="ˎ̥" w:eastAsia="仿宋_GB2312"/>
          <w:color w:val="000000" w:themeColor="text1"/>
          <w:sz w:val="32"/>
          <w:szCs w:val="32"/>
        </w:rPr>
        <w:t>万元。</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使用非财政拨款结余</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万元，较</w:t>
      </w:r>
      <w:r>
        <w:rPr>
          <w:rFonts w:ascii="仿宋_GB2312" w:hAnsi="ˎ̥" w:eastAsia="仿宋_GB2312"/>
          <w:color w:val="000000" w:themeColor="text1"/>
          <w:sz w:val="32"/>
          <w:szCs w:val="32"/>
        </w:rPr>
        <w:t>2023</w:t>
      </w:r>
      <w:r>
        <w:rPr>
          <w:rFonts w:hint="eastAsia" w:ascii="仿宋_GB2312" w:hAnsi="ˎ̥" w:eastAsia="仿宋_GB2312"/>
          <w:color w:val="000000" w:themeColor="text1"/>
          <w:sz w:val="32"/>
          <w:szCs w:val="32"/>
        </w:rPr>
        <w:t>年度决算数增加0万元，主要原因是区委办无非财政拨款收入。</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年初结转结余</w:t>
      </w:r>
      <w:r>
        <w:rPr>
          <w:rFonts w:ascii="仿宋_GB2312" w:hAnsi="ˎ̥" w:eastAsia="仿宋_GB2312"/>
          <w:color w:val="000000" w:themeColor="text1"/>
          <w:sz w:val="32"/>
          <w:szCs w:val="32"/>
        </w:rPr>
        <w:t>8.68</w:t>
      </w:r>
      <w:r>
        <w:rPr>
          <w:rFonts w:hint="eastAsia" w:ascii="仿宋_GB2312" w:hAnsi="ˎ̥" w:eastAsia="仿宋_GB2312"/>
          <w:color w:val="000000" w:themeColor="text1"/>
          <w:sz w:val="32"/>
          <w:szCs w:val="32"/>
        </w:rPr>
        <w:t>万元，主要是党委办公厅（室）及相关机构事务费用，较</w:t>
      </w:r>
      <w:r>
        <w:rPr>
          <w:rFonts w:ascii="仿宋_GB2312" w:hAnsi="ˎ̥" w:eastAsia="仿宋_GB2312"/>
          <w:color w:val="000000" w:themeColor="text1"/>
          <w:sz w:val="32"/>
          <w:szCs w:val="32"/>
        </w:rPr>
        <w:t>2023</w:t>
      </w:r>
      <w:r>
        <w:rPr>
          <w:rFonts w:hint="eastAsia" w:ascii="仿宋_GB2312" w:hAnsi="ˎ̥" w:eastAsia="仿宋_GB2312"/>
          <w:color w:val="000000" w:themeColor="text1"/>
          <w:sz w:val="32"/>
          <w:szCs w:val="32"/>
        </w:rPr>
        <w:t>年度决算数减少16.66万元，下降65.75%，主要原因是项目减少。</w:t>
      </w:r>
    </w:p>
    <w:p>
      <w:pPr>
        <w:spacing w:line="578"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w:t>
      </w:r>
      <w:r>
        <w:rPr>
          <w:rFonts w:ascii="楷体" w:hAnsi="楷体" w:eastAsia="楷体" w:cs="楷体"/>
          <w:color w:val="000000" w:themeColor="text1"/>
          <w:sz w:val="32"/>
          <w:szCs w:val="32"/>
        </w:rPr>
        <w:t>）</w:t>
      </w:r>
      <w:r>
        <w:rPr>
          <w:rFonts w:hint="eastAsia" w:ascii="楷体" w:hAnsi="楷体" w:eastAsia="楷体" w:cs="楷体"/>
          <w:color w:val="000000" w:themeColor="text1"/>
          <w:sz w:val="32"/>
          <w:szCs w:val="32"/>
        </w:rPr>
        <w:t>支出</w:t>
      </w:r>
      <w:r>
        <w:rPr>
          <w:rFonts w:ascii="楷体" w:hAnsi="楷体" w:eastAsia="楷体" w:cs="楷体"/>
          <w:color w:val="000000" w:themeColor="text1"/>
          <w:sz w:val="32"/>
          <w:szCs w:val="32"/>
        </w:rPr>
        <w:t>总计</w:t>
      </w:r>
      <w:r>
        <w:rPr>
          <w:rFonts w:hint="eastAsia" w:ascii="楷体" w:hAnsi="楷体" w:eastAsia="楷体" w:cs="楷体"/>
          <w:color w:val="000000" w:themeColor="text1"/>
          <w:sz w:val="32"/>
          <w:szCs w:val="32"/>
        </w:rPr>
        <w:t>主要</w:t>
      </w:r>
      <w:r>
        <w:rPr>
          <w:rFonts w:ascii="楷体" w:hAnsi="楷体" w:eastAsia="楷体" w:cs="楷体"/>
          <w:color w:val="000000" w:themeColor="text1"/>
          <w:sz w:val="32"/>
          <w:szCs w:val="32"/>
        </w:rPr>
        <w:t>构成</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本年支出</w:t>
      </w:r>
      <w:r>
        <w:rPr>
          <w:rFonts w:ascii="仿宋_GB2312" w:hAnsi="ˎ̥" w:eastAsia="仿宋_GB2312"/>
          <w:color w:val="000000" w:themeColor="text1"/>
          <w:sz w:val="32"/>
          <w:szCs w:val="32"/>
        </w:rPr>
        <w:t>1,053.02</w:t>
      </w:r>
      <w:r>
        <w:rPr>
          <w:rFonts w:hint="eastAsia" w:ascii="仿宋_GB2312" w:hAnsi="ˎ̥" w:eastAsia="仿宋_GB2312"/>
          <w:color w:val="000000" w:themeColor="text1"/>
          <w:sz w:val="32"/>
          <w:szCs w:val="32"/>
        </w:rPr>
        <w:t>万元。</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年初结转结余</w:t>
      </w:r>
      <w:r>
        <w:rPr>
          <w:rFonts w:ascii="仿宋_GB2312" w:hAnsi="ˎ̥" w:eastAsia="仿宋_GB2312"/>
          <w:color w:val="000000" w:themeColor="text1"/>
          <w:sz w:val="32"/>
          <w:szCs w:val="32"/>
        </w:rPr>
        <w:t>8.68</w:t>
      </w:r>
      <w:r>
        <w:rPr>
          <w:rFonts w:hint="eastAsia" w:ascii="仿宋_GB2312" w:hAnsi="ˎ̥" w:eastAsia="仿宋_GB2312"/>
          <w:color w:val="000000" w:themeColor="text1"/>
          <w:sz w:val="32"/>
          <w:szCs w:val="32"/>
        </w:rPr>
        <w:t>万元，主要是党委办公厅（室）及相关机构事务费用，较</w:t>
      </w:r>
      <w:r>
        <w:rPr>
          <w:rFonts w:ascii="仿宋_GB2312" w:hAnsi="ˎ̥" w:eastAsia="仿宋_GB2312"/>
          <w:color w:val="000000" w:themeColor="text1"/>
          <w:sz w:val="32"/>
          <w:szCs w:val="32"/>
        </w:rPr>
        <w:t>2023</w:t>
      </w:r>
      <w:r>
        <w:rPr>
          <w:rFonts w:hint="eastAsia" w:ascii="仿宋_GB2312" w:hAnsi="ˎ̥" w:eastAsia="仿宋_GB2312"/>
          <w:color w:val="000000" w:themeColor="text1"/>
          <w:sz w:val="32"/>
          <w:szCs w:val="32"/>
        </w:rPr>
        <w:t>年度决算数减少16.66万元，下降65.75%，主要原因是项目减少。年末结转结余</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w:t>
      </w:r>
      <w:bookmarkStart w:id="116" w:name="_GoBack"/>
      <w:bookmarkEnd w:id="116"/>
    </w:p>
    <w:p>
      <w:pPr>
        <w:spacing w:line="578" w:lineRule="exact"/>
        <w:ind w:firstLine="640" w:firstLineChars="200"/>
        <w:rPr>
          <w:rFonts w:ascii="仿宋_GB2312" w:hAnsi="ˎ̥" w:eastAsia="仿宋_GB2312"/>
          <w:color w:val="000000" w:themeColor="text1"/>
          <w:sz w:val="32"/>
          <w:szCs w:val="32"/>
        </w:rPr>
      </w:pPr>
      <w:r>
        <w:rPr>
          <w:rFonts w:hint="eastAsia" w:ascii="黑体" w:hAnsi="黑体" w:eastAsia="黑体" w:cs="黑体"/>
          <w:bCs/>
          <w:color w:val="000000" w:themeColor="text1"/>
          <w:sz w:val="32"/>
          <w:szCs w:val="32"/>
        </w:rPr>
        <w:t>二、收入决算情况说明</w:t>
      </w:r>
      <w:r>
        <w:rPr>
          <w:rFonts w:hint="eastAsia" w:ascii="黑体" w:hAnsi="黑体" w:eastAsia="黑体" w:cs="黑体"/>
          <w:bCs/>
          <w:color w:val="000000" w:themeColor="text1"/>
          <w:sz w:val="32"/>
          <w:szCs w:val="32"/>
        </w:rPr>
        <w:br w:type="textWrapping"/>
      </w:r>
      <w:r>
        <w:rPr>
          <w:rFonts w:hint="eastAsia" w:ascii="仿宋_GB2312" w:hAnsi="ˎ̥" w:eastAsia="仿宋_GB2312"/>
          <w:color w:val="000000" w:themeColor="text1"/>
          <w:sz w:val="32"/>
          <w:szCs w:val="32"/>
        </w:rPr>
        <w:t xml:space="preserve">    本年收入</w:t>
      </w:r>
      <w:r>
        <w:rPr>
          <w:rFonts w:ascii="仿宋_GB2312" w:hAnsi="ˎ̥" w:eastAsia="仿宋_GB2312"/>
          <w:color w:val="000000" w:themeColor="text1"/>
          <w:sz w:val="32"/>
          <w:szCs w:val="32"/>
        </w:rPr>
        <w:t>1,044.34</w:t>
      </w:r>
      <w:r>
        <w:rPr>
          <w:rFonts w:hint="eastAsia" w:ascii="仿宋_GB2312" w:hAnsi="ˎ̥" w:eastAsia="仿宋_GB2312"/>
          <w:color w:val="000000" w:themeColor="text1"/>
          <w:sz w:val="32"/>
          <w:szCs w:val="32"/>
        </w:rPr>
        <w:t>万元，其中：财政拨款收入</w:t>
      </w:r>
      <w:r>
        <w:rPr>
          <w:rFonts w:ascii="仿宋_GB2312" w:hAnsi="ˎ̥" w:eastAsia="仿宋_GB2312"/>
          <w:color w:val="000000" w:themeColor="text1"/>
          <w:sz w:val="32"/>
          <w:szCs w:val="32"/>
        </w:rPr>
        <w:t>1,044.34</w:t>
      </w:r>
      <w:r>
        <w:rPr>
          <w:rFonts w:hint="eastAsia" w:ascii="仿宋_GB2312" w:hAnsi="ˎ̥" w:eastAsia="仿宋_GB2312"/>
          <w:color w:val="000000" w:themeColor="text1"/>
          <w:sz w:val="32"/>
          <w:szCs w:val="32"/>
        </w:rPr>
        <w:t>万元，占100%；上级补助收入</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万元，占0%；事业收入</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万元，占0%；经营收入</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万元，占0%；附属单位上缴收入</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万元，占0%；其他收入</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w:t>
      </w:r>
    </w:p>
    <w:p>
      <w:pPr>
        <w:spacing w:line="578" w:lineRule="exact"/>
        <w:ind w:firstLine="627" w:firstLineChars="196"/>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三、支出决算情况说明</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本年支出</w:t>
      </w:r>
      <w:r>
        <w:rPr>
          <w:rFonts w:ascii="仿宋_GB2312" w:hAnsi="ˎ̥" w:eastAsia="仿宋_GB2312"/>
          <w:color w:val="000000" w:themeColor="text1"/>
          <w:sz w:val="32"/>
          <w:szCs w:val="32"/>
        </w:rPr>
        <w:t>1,053.02</w:t>
      </w:r>
      <w:r>
        <w:rPr>
          <w:rFonts w:hint="eastAsia" w:ascii="仿宋_GB2312" w:hAnsi="ˎ̥" w:eastAsia="仿宋_GB2312"/>
          <w:color w:val="000000" w:themeColor="text1"/>
          <w:sz w:val="32"/>
          <w:szCs w:val="32"/>
        </w:rPr>
        <w:t>万元，其中：基本支出</w:t>
      </w:r>
      <w:r>
        <w:rPr>
          <w:rFonts w:ascii="仿宋_GB2312" w:hAnsi="ˎ̥" w:eastAsia="仿宋_GB2312"/>
          <w:color w:val="000000" w:themeColor="text1"/>
          <w:sz w:val="32"/>
          <w:szCs w:val="32"/>
        </w:rPr>
        <w:t>910.62</w:t>
      </w:r>
      <w:r>
        <w:rPr>
          <w:rFonts w:hint="eastAsia" w:ascii="仿宋_GB2312" w:hAnsi="ˎ̥" w:eastAsia="仿宋_GB2312"/>
          <w:color w:val="000000" w:themeColor="text1"/>
          <w:sz w:val="32"/>
          <w:szCs w:val="32"/>
        </w:rPr>
        <w:t>万元，占75.14%；项目支出</w:t>
      </w:r>
      <w:r>
        <w:rPr>
          <w:rFonts w:ascii="仿宋_GB2312" w:hAnsi="ˎ̥" w:eastAsia="仿宋_GB2312"/>
          <w:color w:val="000000" w:themeColor="text1"/>
          <w:sz w:val="32"/>
          <w:szCs w:val="32"/>
        </w:rPr>
        <w:t>142.40</w:t>
      </w:r>
      <w:r>
        <w:rPr>
          <w:rFonts w:hint="eastAsia" w:ascii="仿宋_GB2312" w:hAnsi="ˎ̥" w:eastAsia="仿宋_GB2312"/>
          <w:color w:val="000000" w:themeColor="text1"/>
          <w:sz w:val="32"/>
          <w:szCs w:val="32"/>
        </w:rPr>
        <w:t>万元，占24.86%；上缴上级支出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万元，占0%；经营支出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万元，占0%；对附属单位补助支出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（注</w:t>
      </w:r>
      <w:r>
        <w:rPr>
          <w:rFonts w:ascii="仿宋_GB2312" w:hAnsi="ˎ̥" w:eastAsia="仿宋_GB2312"/>
          <w:color w:val="000000" w:themeColor="text1"/>
          <w:sz w:val="32"/>
          <w:szCs w:val="32"/>
        </w:rPr>
        <w:t>：</w:t>
      </w:r>
      <w:r>
        <w:rPr>
          <w:rFonts w:hint="eastAsia" w:ascii="仿宋_GB2312" w:hAnsi="ˎ̥" w:eastAsia="仿宋_GB2312"/>
          <w:color w:val="000000" w:themeColor="text1"/>
          <w:sz w:val="32"/>
          <w:szCs w:val="32"/>
        </w:rPr>
        <w:t>上述各项支出数可取自财决公开03表。）</w:t>
      </w:r>
    </w:p>
    <w:p>
      <w:pPr>
        <w:spacing w:line="578" w:lineRule="exact"/>
        <w:ind w:firstLine="627" w:firstLineChars="196"/>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四、财政拨款收入支出决算总体情况说明</w:t>
      </w:r>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年度财政拨款收入</w:t>
      </w:r>
      <w:r>
        <w:rPr>
          <w:rFonts w:ascii="仿宋_GB2312" w:hAnsi="ˎ̥" w:eastAsia="仿宋_GB2312"/>
          <w:color w:val="000000" w:themeColor="text1"/>
          <w:sz w:val="32"/>
          <w:szCs w:val="32"/>
        </w:rPr>
        <w:t>1,044.34</w:t>
      </w:r>
      <w:r>
        <w:rPr>
          <w:rFonts w:hint="eastAsia" w:ascii="仿宋_GB2312" w:hAnsi="ˎ̥" w:eastAsia="仿宋_GB2312"/>
          <w:color w:val="000000" w:themeColor="text1"/>
          <w:sz w:val="32"/>
          <w:szCs w:val="32"/>
        </w:rPr>
        <w:t>万元，支出</w:t>
      </w:r>
      <w:r>
        <w:rPr>
          <w:rFonts w:ascii="仿宋_GB2312" w:hAnsi="ˎ̥" w:eastAsia="仿宋_GB2312"/>
          <w:color w:val="000000" w:themeColor="text1"/>
          <w:sz w:val="32"/>
          <w:szCs w:val="32"/>
        </w:rPr>
        <w:t>1,053.02</w:t>
      </w:r>
      <w:r>
        <w:rPr>
          <w:rFonts w:hint="eastAsia" w:ascii="仿宋_GB2312" w:hAnsi="ˎ̥" w:eastAsia="仿宋_GB2312"/>
          <w:color w:val="000000" w:themeColor="text1"/>
          <w:sz w:val="32"/>
          <w:szCs w:val="32"/>
        </w:rPr>
        <w:t>万元。与</w:t>
      </w:r>
      <w:r>
        <w:rPr>
          <w:rFonts w:ascii="仿宋_GB2312" w:hAnsi="ˎ̥" w:eastAsia="仿宋_GB2312"/>
          <w:color w:val="000000" w:themeColor="text1"/>
          <w:sz w:val="32"/>
          <w:szCs w:val="32"/>
        </w:rPr>
        <w:t>2023</w:t>
      </w:r>
      <w:r>
        <w:rPr>
          <w:rFonts w:hint="eastAsia" w:ascii="仿宋_GB2312" w:hAnsi="ˎ̥" w:eastAsia="仿宋_GB2312"/>
          <w:color w:val="000000" w:themeColor="text1"/>
          <w:sz w:val="32"/>
          <w:szCs w:val="32"/>
        </w:rPr>
        <w:t>年度相比，财政拨款收入减少58.48万元，下降5.3%，主要原因：人员减少、项目减少。</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财政拨款年初结转结余</w:t>
      </w:r>
      <w:r>
        <w:rPr>
          <w:rFonts w:ascii="仿宋_GB2312" w:hAnsi="ˎ̥" w:eastAsia="仿宋_GB2312"/>
          <w:color w:val="000000" w:themeColor="text1"/>
          <w:sz w:val="32"/>
          <w:szCs w:val="32"/>
        </w:rPr>
        <w:t>8.68</w:t>
      </w:r>
      <w:r>
        <w:rPr>
          <w:rFonts w:hint="eastAsia" w:ascii="仿宋_GB2312" w:hAnsi="ˎ̥" w:eastAsia="仿宋_GB2312"/>
          <w:color w:val="000000" w:themeColor="text1"/>
          <w:sz w:val="32"/>
          <w:szCs w:val="32"/>
        </w:rPr>
        <w:t>万元，主要是党委办公厅（室）及相关机构事务费用未及时支出，较</w:t>
      </w:r>
      <w:r>
        <w:rPr>
          <w:rFonts w:ascii="仿宋_GB2312" w:hAnsi="ˎ̥" w:eastAsia="仿宋_GB2312"/>
          <w:color w:val="000000" w:themeColor="text1"/>
          <w:sz w:val="32"/>
          <w:szCs w:val="32"/>
        </w:rPr>
        <w:t>2023</w:t>
      </w:r>
      <w:r>
        <w:rPr>
          <w:rFonts w:hint="eastAsia" w:ascii="仿宋_GB2312" w:hAnsi="ˎ̥" w:eastAsia="仿宋_GB2312"/>
          <w:color w:val="000000" w:themeColor="text1"/>
          <w:sz w:val="32"/>
          <w:szCs w:val="32"/>
        </w:rPr>
        <w:t>年度决算数增加减少16.66万元，下降65.75%，主要原因是项目减少。财政拨款年末结转结余</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w:t>
      </w:r>
    </w:p>
    <w:p>
      <w:pPr>
        <w:spacing w:line="578" w:lineRule="exact"/>
        <w:ind w:firstLine="627" w:firstLineChars="196"/>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五、一般公共预算财政拨款支出决算情况说明</w:t>
      </w:r>
    </w:p>
    <w:p>
      <w:pPr>
        <w:spacing w:line="578" w:lineRule="exact"/>
        <w:ind w:firstLine="640" w:firstLineChars="200"/>
        <w:rPr>
          <w:rFonts w:ascii="楷体" w:hAnsi="楷体" w:eastAsia="楷体" w:cs="楷体"/>
          <w:color w:val="000000" w:themeColor="text1"/>
          <w:sz w:val="32"/>
          <w:szCs w:val="32"/>
        </w:rPr>
      </w:pPr>
      <w:bookmarkStart w:id="74" w:name="_Toc13694_WPSOffice_Level2"/>
      <w:bookmarkStart w:id="75" w:name="_Toc17398_WPSOffice_Level2"/>
      <w:bookmarkStart w:id="76" w:name="_Toc23005_WPSOffice_Level2"/>
      <w:bookmarkStart w:id="77" w:name="_Toc9989_WPSOffice_Level2"/>
      <w:bookmarkStart w:id="78" w:name="_Toc21737_WPSOffice_Level2"/>
      <w:bookmarkStart w:id="79" w:name="_Toc19665_WPSOffice_Level2"/>
      <w:r>
        <w:rPr>
          <w:rFonts w:hint="eastAsia" w:ascii="楷体" w:hAnsi="楷体" w:eastAsia="楷体" w:cs="楷体"/>
          <w:color w:val="000000" w:themeColor="text1"/>
          <w:sz w:val="32"/>
          <w:szCs w:val="32"/>
        </w:rPr>
        <w:t>（一）一般公共预算财政拨款支出决算总体情况</w:t>
      </w:r>
      <w:bookmarkEnd w:id="74"/>
      <w:bookmarkEnd w:id="75"/>
      <w:bookmarkEnd w:id="76"/>
      <w:bookmarkEnd w:id="77"/>
      <w:bookmarkEnd w:id="78"/>
      <w:bookmarkEnd w:id="79"/>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年度一般公共预算财政拨款支出</w:t>
      </w:r>
      <w:r>
        <w:rPr>
          <w:rFonts w:ascii="仿宋_GB2312" w:hAnsi="ˎ̥" w:eastAsia="仿宋_GB2312"/>
          <w:color w:val="000000" w:themeColor="text1"/>
          <w:sz w:val="32"/>
          <w:szCs w:val="32"/>
        </w:rPr>
        <w:t>1,053.02</w:t>
      </w:r>
      <w:r>
        <w:rPr>
          <w:rFonts w:hint="eastAsia" w:ascii="仿宋_GB2312" w:hAnsi="ˎ̥" w:eastAsia="仿宋_GB2312"/>
          <w:color w:val="000000" w:themeColor="text1"/>
          <w:sz w:val="32"/>
          <w:szCs w:val="32"/>
        </w:rPr>
        <w:t>万元，占本年支出合计的100%。与</w:t>
      </w:r>
      <w:r>
        <w:rPr>
          <w:rFonts w:ascii="仿宋_GB2312" w:hAnsi="ˎ̥" w:eastAsia="仿宋_GB2312"/>
          <w:color w:val="000000" w:themeColor="text1"/>
          <w:sz w:val="32"/>
          <w:szCs w:val="32"/>
        </w:rPr>
        <w:t>2023</w:t>
      </w:r>
      <w:r>
        <w:rPr>
          <w:rFonts w:hint="eastAsia" w:ascii="仿宋_GB2312" w:hAnsi="ˎ̥" w:eastAsia="仿宋_GB2312"/>
          <w:color w:val="000000" w:themeColor="text1"/>
          <w:sz w:val="32"/>
          <w:szCs w:val="32"/>
        </w:rPr>
        <w:t>年度相比，一般公共预算财政拨款支出减少58.48万元，下降65.75%，主要原因是人员减少、项目减少。</w:t>
      </w:r>
    </w:p>
    <w:p>
      <w:pPr>
        <w:spacing w:line="578" w:lineRule="exact"/>
        <w:ind w:firstLine="640" w:firstLineChars="200"/>
        <w:rPr>
          <w:rFonts w:ascii="楷体" w:hAnsi="楷体" w:eastAsia="楷体" w:cs="楷体"/>
          <w:color w:val="000000" w:themeColor="text1"/>
          <w:sz w:val="32"/>
          <w:szCs w:val="32"/>
        </w:rPr>
      </w:pPr>
      <w:bookmarkStart w:id="80" w:name="_Toc27767_WPSOffice_Level2"/>
      <w:bookmarkStart w:id="81" w:name="_Toc2711_WPSOffice_Level2"/>
      <w:bookmarkStart w:id="82" w:name="_Toc18793_WPSOffice_Level2"/>
      <w:bookmarkStart w:id="83" w:name="_Toc19535_WPSOffice_Level2"/>
      <w:bookmarkStart w:id="84" w:name="_Toc23864_WPSOffice_Level2"/>
      <w:bookmarkStart w:id="85" w:name="_Toc19075_WPSOffice_Level2"/>
      <w:r>
        <w:rPr>
          <w:rFonts w:hint="eastAsia" w:ascii="楷体" w:hAnsi="楷体" w:eastAsia="楷体" w:cs="楷体"/>
          <w:color w:val="000000" w:themeColor="text1"/>
          <w:sz w:val="32"/>
          <w:szCs w:val="32"/>
        </w:rPr>
        <w:t>（二）一般公共预算财政拨款支出决算结构情况</w:t>
      </w:r>
      <w:bookmarkEnd w:id="80"/>
      <w:bookmarkEnd w:id="81"/>
      <w:bookmarkEnd w:id="82"/>
      <w:bookmarkEnd w:id="83"/>
      <w:bookmarkEnd w:id="84"/>
      <w:bookmarkEnd w:id="85"/>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年度一般公共预算财政拨款支出</w:t>
      </w:r>
      <w:r>
        <w:rPr>
          <w:rFonts w:ascii="仿宋_GB2312" w:hAnsi="ˎ̥" w:eastAsia="仿宋_GB2312"/>
          <w:color w:val="000000" w:themeColor="text1"/>
          <w:sz w:val="32"/>
          <w:szCs w:val="32"/>
        </w:rPr>
        <w:t>1,053.02</w:t>
      </w:r>
      <w:r>
        <w:rPr>
          <w:rFonts w:hint="eastAsia" w:ascii="仿宋_GB2312" w:hAnsi="ˎ̥" w:eastAsia="仿宋_GB2312"/>
          <w:color w:val="000000" w:themeColor="text1"/>
          <w:sz w:val="32"/>
          <w:szCs w:val="32"/>
        </w:rPr>
        <w:t>万元，主要用于以下方面：</w:t>
      </w:r>
      <w:r>
        <w:rPr>
          <w:rFonts w:hint="eastAsia" w:ascii="仿宋_GB2312" w:hAnsi="ˎ̥" w:eastAsia="仿宋_GB2312"/>
          <w:b/>
          <w:color w:val="000000" w:themeColor="text1"/>
          <w:sz w:val="32"/>
          <w:szCs w:val="32"/>
        </w:rPr>
        <w:t>一般公共服务（类）</w:t>
      </w:r>
      <w:r>
        <w:rPr>
          <w:rFonts w:hint="eastAsia" w:ascii="仿宋_GB2312" w:hAnsi="ˎ̥" w:eastAsia="仿宋_GB2312"/>
          <w:color w:val="000000" w:themeColor="text1"/>
          <w:sz w:val="32"/>
          <w:szCs w:val="32"/>
        </w:rPr>
        <w:t>支出701.86万元，占66.65%；</w:t>
      </w:r>
      <w:r>
        <w:rPr>
          <w:rFonts w:hint="eastAsia" w:ascii="仿宋_GB2312" w:hAnsi="ˎ̥" w:eastAsia="仿宋_GB2312"/>
          <w:b/>
          <w:color w:val="000000" w:themeColor="text1"/>
          <w:sz w:val="32"/>
          <w:szCs w:val="32"/>
        </w:rPr>
        <w:t>社会保障和就业（类）</w:t>
      </w:r>
      <w:r>
        <w:rPr>
          <w:rFonts w:hint="eastAsia" w:ascii="仿宋_GB2312" w:hAnsi="ˎ̥" w:eastAsia="仿宋_GB2312"/>
          <w:color w:val="000000" w:themeColor="text1"/>
          <w:sz w:val="32"/>
          <w:szCs w:val="32"/>
        </w:rPr>
        <w:t>支出83.88万元，占7.96%；</w:t>
      </w:r>
      <w:r>
        <w:rPr>
          <w:rFonts w:hint="eastAsia" w:ascii="仿宋_GB2312" w:hAnsi="ˎ̥" w:eastAsia="仿宋_GB2312"/>
          <w:b/>
          <w:bCs/>
          <w:color w:val="000000" w:themeColor="text1"/>
          <w:sz w:val="32"/>
          <w:szCs w:val="32"/>
        </w:rPr>
        <w:t>住房保障（类）</w:t>
      </w:r>
      <w:r>
        <w:rPr>
          <w:rFonts w:hint="eastAsia" w:ascii="仿宋_GB2312" w:hAnsi="ˎ̥" w:eastAsia="仿宋_GB2312"/>
          <w:color w:val="000000" w:themeColor="text1"/>
          <w:sz w:val="32"/>
          <w:szCs w:val="32"/>
        </w:rPr>
        <w:t>支出28.33万元，占2.69%。</w:t>
      </w:r>
    </w:p>
    <w:p>
      <w:pPr>
        <w:spacing w:line="578" w:lineRule="exact"/>
        <w:ind w:firstLine="640" w:firstLineChars="200"/>
        <w:rPr>
          <w:rFonts w:ascii="楷体" w:hAnsi="楷体" w:eastAsia="楷体" w:cs="楷体"/>
          <w:color w:val="000000" w:themeColor="text1"/>
          <w:sz w:val="32"/>
          <w:szCs w:val="32"/>
        </w:rPr>
      </w:pPr>
      <w:bookmarkStart w:id="86" w:name="_Toc9502_WPSOffice_Level2"/>
      <w:bookmarkStart w:id="87" w:name="_Toc15415_WPSOffice_Level2"/>
      <w:bookmarkStart w:id="88" w:name="_Toc22318_WPSOffice_Level2"/>
      <w:bookmarkStart w:id="89" w:name="_Toc21701_WPSOffice_Level2"/>
      <w:bookmarkStart w:id="90" w:name="_Toc29364_WPSOffice_Level2"/>
      <w:bookmarkStart w:id="91" w:name="_Toc25136_WPSOffice_Level2"/>
      <w:r>
        <w:rPr>
          <w:rFonts w:hint="eastAsia" w:ascii="楷体" w:hAnsi="楷体" w:eastAsia="楷体" w:cs="楷体"/>
          <w:color w:val="000000" w:themeColor="text1"/>
          <w:sz w:val="32"/>
          <w:szCs w:val="32"/>
        </w:rPr>
        <w:t>（三）一般公共预算财政拨款支出决算具体情况</w:t>
      </w:r>
      <w:bookmarkEnd w:id="86"/>
      <w:bookmarkEnd w:id="87"/>
      <w:bookmarkEnd w:id="88"/>
      <w:bookmarkEnd w:id="89"/>
      <w:bookmarkEnd w:id="90"/>
      <w:bookmarkEnd w:id="91"/>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年度一般公共预算财政拨款支出年初预算为1044.34万元，支出决算为</w:t>
      </w:r>
      <w:r>
        <w:rPr>
          <w:rFonts w:ascii="仿宋_GB2312" w:hAnsi="ˎ̥" w:eastAsia="仿宋_GB2312"/>
          <w:color w:val="000000" w:themeColor="text1"/>
          <w:sz w:val="32"/>
          <w:szCs w:val="32"/>
        </w:rPr>
        <w:t>1,053.02</w:t>
      </w:r>
      <w:r>
        <w:rPr>
          <w:rFonts w:hint="eastAsia" w:ascii="仿宋_GB2312" w:hAnsi="ˎ̥" w:eastAsia="仿宋_GB2312"/>
          <w:color w:val="000000" w:themeColor="text1"/>
          <w:sz w:val="32"/>
          <w:szCs w:val="32"/>
        </w:rPr>
        <w:t>万元，完成年初预算的100%。其中：</w:t>
      </w:r>
    </w:p>
    <w:p>
      <w:pPr>
        <w:spacing w:line="578" w:lineRule="exact"/>
        <w:ind w:firstLine="640" w:firstLineChars="200"/>
        <w:rPr>
          <w:rFonts w:ascii="仿宋_GB2312" w:hAnsi="ˎ̥" w:eastAsia="仿宋_GB2312"/>
          <w:b/>
          <w:color w:val="000000" w:themeColor="text1"/>
          <w:sz w:val="32"/>
          <w:szCs w:val="32"/>
        </w:rPr>
      </w:pPr>
      <w:r>
        <w:rPr>
          <w:rFonts w:hint="eastAsia" w:ascii="仿宋_GB2312" w:hAnsi="ˎ̥" w:eastAsia="仿宋_GB2312"/>
          <w:color w:val="000000" w:themeColor="text1"/>
          <w:sz w:val="32"/>
          <w:szCs w:val="32"/>
        </w:rPr>
        <w:t>1.</w:t>
      </w:r>
      <w:r>
        <w:rPr>
          <w:rFonts w:hint="eastAsia" w:ascii="仿宋_GB2312" w:hAnsi="ˎ̥" w:eastAsia="仿宋_GB2312"/>
          <w:b/>
          <w:color w:val="000000" w:themeColor="text1"/>
          <w:sz w:val="32"/>
          <w:szCs w:val="32"/>
        </w:rPr>
        <w:t>一般公共服务（类）人大事务（款）行政运行（项）。</w:t>
      </w:r>
    </w:p>
    <w:p>
      <w:pPr>
        <w:spacing w:line="578" w:lineRule="exact"/>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年初预算为989.75万元，支出决算为701.86万元，完成年初预算的70%。决算数小于预算数的主要原因：人员减少、项目减少。</w:t>
      </w:r>
    </w:p>
    <w:p>
      <w:pPr>
        <w:spacing w:line="578" w:lineRule="exact"/>
        <w:ind w:firstLine="627" w:firstLineChars="196"/>
        <w:rPr>
          <w:rFonts w:ascii="黑体" w:hAnsi="黑体" w:eastAsia="黑体" w:cs="黑体"/>
          <w:color w:val="000000" w:themeColor="text1"/>
          <w:sz w:val="32"/>
          <w:szCs w:val="32"/>
        </w:rPr>
      </w:pPr>
      <w:r>
        <w:rPr>
          <w:rFonts w:hint="eastAsia" w:ascii="黑体" w:hAnsi="黑体" w:eastAsia="黑体" w:cs="黑体"/>
          <w:bCs/>
          <w:color w:val="000000" w:themeColor="text1"/>
          <w:sz w:val="32"/>
          <w:szCs w:val="32"/>
        </w:rPr>
        <w:t>六、一般公共预算财政拨款基本支出决算情况说明</w:t>
      </w:r>
    </w:p>
    <w:p>
      <w:pPr>
        <w:tabs>
          <w:tab w:val="center" w:pos="4473"/>
        </w:tabs>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年度财政拨款基本支出910.62万元，其中：人员经费</w:t>
      </w:r>
      <w:r>
        <w:rPr>
          <w:rFonts w:ascii="仿宋_GB2312" w:hAnsi="ˎ̥" w:eastAsia="仿宋_GB2312"/>
          <w:color w:val="000000" w:themeColor="text1"/>
          <w:sz w:val="32"/>
          <w:szCs w:val="32"/>
        </w:rPr>
        <w:t>861.62</w:t>
      </w:r>
      <w:r>
        <w:rPr>
          <w:rFonts w:hint="eastAsia" w:ascii="仿宋_GB2312" w:hAnsi="ˎ̥" w:eastAsia="仿宋_GB2312"/>
          <w:color w:val="000000" w:themeColor="text1"/>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rPr>
        <w:t>49.00</w:t>
      </w:r>
      <w:r>
        <w:rPr>
          <w:rFonts w:hint="eastAsia" w:ascii="仿宋_GB2312" w:hAnsi="ˎ̥" w:eastAsia="仿宋_GB2312"/>
          <w:color w:val="000000" w:themeColor="text1"/>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tabs>
          <w:tab w:val="center" w:pos="4473"/>
        </w:tabs>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（注</w:t>
      </w:r>
      <w:r>
        <w:rPr>
          <w:rFonts w:ascii="仿宋_GB2312" w:hAnsi="ˎ̥" w:eastAsia="仿宋_GB2312"/>
          <w:color w:val="000000" w:themeColor="text1"/>
          <w:sz w:val="32"/>
          <w:szCs w:val="32"/>
        </w:rPr>
        <w:t>：</w:t>
      </w:r>
      <w:r>
        <w:rPr>
          <w:rFonts w:hint="eastAsia" w:ascii="仿宋_GB2312" w:hAnsi="ˎ̥" w:eastAsia="仿宋_GB2312"/>
          <w:color w:val="000000" w:themeColor="text1"/>
          <w:sz w:val="32"/>
          <w:szCs w:val="32"/>
        </w:rPr>
        <w:t>上述数据可取自财决公开06表，各预算部门、单位根据实际支出情况，选列相应支出经济分类。）</w:t>
      </w:r>
    </w:p>
    <w:p>
      <w:pPr>
        <w:tabs>
          <w:tab w:val="center" w:pos="4473"/>
        </w:tabs>
        <w:spacing w:line="578" w:lineRule="exact"/>
        <w:ind w:firstLine="627" w:firstLineChars="196"/>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七、政府性基金预算财政拨款支出决算情况说明</w:t>
      </w:r>
    </w:p>
    <w:p>
      <w:pPr>
        <w:spacing w:line="578"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（一）政府性基金预算财政拨款支出决算总体情况</w:t>
      </w:r>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年度政府性基金预算财政拨款支出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万元，占本年支出合计的0%。</w:t>
      </w:r>
    </w:p>
    <w:p>
      <w:pPr>
        <w:spacing w:line="578"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（二）政府性基金预算财政拨款支出决算结构情况</w:t>
      </w:r>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年度政府性基金预算财政拨款支出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w:t>
      </w:r>
    </w:p>
    <w:p>
      <w:pPr>
        <w:spacing w:line="578"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（三）政府性基金预算财政拨款支出决算具体情况</w:t>
      </w:r>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年度政府性基金预算财政拨款支出年初预算为0万元，支出决算为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w:t>
      </w:r>
    </w:p>
    <w:p>
      <w:pPr>
        <w:tabs>
          <w:tab w:val="center" w:pos="4473"/>
        </w:tabs>
        <w:spacing w:line="578" w:lineRule="exact"/>
        <w:ind w:firstLine="627" w:firstLineChars="196"/>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八、国有资本经营预算财政拨款支出决算情况说明</w:t>
      </w:r>
    </w:p>
    <w:p>
      <w:pPr>
        <w:spacing w:line="578"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（一）国有资本经营预算财政拨款支出决算总体情况</w:t>
      </w:r>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年度国有资本经营预算财政拨款支出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万元，占本年支出合计的0%。</w:t>
      </w:r>
    </w:p>
    <w:p>
      <w:pPr>
        <w:spacing w:line="578"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（二）国有资本经营预算财政拨款支出决算结构情况</w:t>
      </w:r>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年度国有资本经营预算财政拨款支出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w:t>
      </w:r>
    </w:p>
    <w:p>
      <w:pPr>
        <w:spacing w:line="578" w:lineRule="exact"/>
        <w:ind w:firstLine="640" w:firstLineChars="200"/>
        <w:rPr>
          <w:rFonts w:ascii="楷体" w:hAnsi="楷体" w:eastAsia="楷体" w:cs="楷体"/>
          <w:color w:val="000000" w:themeColor="text1"/>
          <w:sz w:val="32"/>
          <w:szCs w:val="32"/>
        </w:rPr>
      </w:pPr>
      <w:r>
        <w:rPr>
          <w:rFonts w:hint="eastAsia" w:ascii="楷体" w:hAnsi="楷体" w:eastAsia="楷体" w:cs="楷体"/>
          <w:color w:val="000000" w:themeColor="text1"/>
          <w:sz w:val="32"/>
          <w:szCs w:val="32"/>
        </w:rPr>
        <w:t>（三）国有资本经营预算财政拨款支出决算具体情况</w:t>
      </w:r>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年度国有资本经营预算财政拨款支出年初预算为0万元，支出决算为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万元，完成年初预算的0%。</w:t>
      </w:r>
    </w:p>
    <w:p>
      <w:pPr>
        <w:spacing w:line="578" w:lineRule="exact"/>
        <w:ind w:firstLine="627" w:firstLineChars="196"/>
        <w:rPr>
          <w:rFonts w:ascii="仿宋_GB2312" w:hAnsi="ˎ̥" w:eastAsia="楷体_GB2312"/>
          <w:color w:val="000000" w:themeColor="text1"/>
          <w:sz w:val="32"/>
          <w:szCs w:val="32"/>
        </w:rPr>
      </w:pPr>
      <w:r>
        <w:rPr>
          <w:rFonts w:hint="eastAsia" w:ascii="黑体" w:hAnsi="黑体" w:eastAsia="黑体" w:cs="黑体"/>
          <w:bCs/>
          <w:color w:val="000000" w:themeColor="text1"/>
          <w:sz w:val="32"/>
          <w:szCs w:val="32"/>
        </w:rPr>
        <w:t>九、财政拨款“三公”经费支出决算情况说明</w:t>
      </w:r>
    </w:p>
    <w:p>
      <w:pPr>
        <w:spacing w:line="578" w:lineRule="exact"/>
        <w:ind w:firstLine="640" w:firstLineChars="200"/>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（一）财政拨款“三公”经费支出决算总体情况说明</w:t>
      </w:r>
    </w:p>
    <w:p>
      <w:pPr>
        <w:spacing w:line="578" w:lineRule="exact"/>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 xml:space="preserve">    </w:t>
      </w: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年度财政拨款“三公”经费支出预算为</w:t>
      </w:r>
      <w:r>
        <w:rPr>
          <w:rFonts w:ascii="仿宋_GB2312" w:hAnsi="ˎ̥" w:eastAsia="仿宋_GB2312"/>
          <w:color w:val="000000" w:themeColor="text1"/>
          <w:sz w:val="32"/>
          <w:szCs w:val="32"/>
        </w:rPr>
        <w:t>0.54</w:t>
      </w:r>
      <w:r>
        <w:rPr>
          <w:rFonts w:hint="eastAsia" w:ascii="仿宋_GB2312" w:hAnsi="ˎ̥" w:eastAsia="仿宋_GB2312"/>
          <w:color w:val="000000" w:themeColor="text1"/>
          <w:sz w:val="32"/>
          <w:szCs w:val="32"/>
        </w:rPr>
        <w:t>万元，支出决算为</w:t>
      </w:r>
      <w:r>
        <w:rPr>
          <w:rFonts w:ascii="仿宋_GB2312" w:hAnsi="ˎ̥" w:eastAsia="仿宋_GB2312"/>
          <w:color w:val="000000" w:themeColor="text1"/>
          <w:sz w:val="32"/>
          <w:szCs w:val="32"/>
        </w:rPr>
        <w:t>0.54</w:t>
      </w:r>
      <w:r>
        <w:rPr>
          <w:rFonts w:hint="eastAsia" w:ascii="仿宋_GB2312" w:hAnsi="ˎ̥" w:eastAsia="仿宋_GB2312"/>
          <w:color w:val="000000" w:themeColor="text1"/>
          <w:sz w:val="32"/>
          <w:szCs w:val="32"/>
        </w:rPr>
        <w:t>万元，完成预算的100%，</w:t>
      </w:r>
      <w:r>
        <w:rPr>
          <w:rFonts w:ascii="仿宋_GB2312" w:hAnsi="ˎ̥" w:eastAsia="仿宋_GB2312"/>
          <w:color w:val="000000" w:themeColor="text1"/>
          <w:sz w:val="32"/>
          <w:szCs w:val="32"/>
        </w:rPr>
        <w:t>与2023</w:t>
      </w:r>
      <w:r>
        <w:rPr>
          <w:rFonts w:hint="eastAsia" w:ascii="仿宋_GB2312" w:hAnsi="ˎ̥" w:eastAsia="仿宋_GB2312"/>
          <w:color w:val="000000" w:themeColor="text1"/>
          <w:sz w:val="32"/>
          <w:szCs w:val="32"/>
        </w:rPr>
        <w:t>年度</w:t>
      </w:r>
      <w:r>
        <w:rPr>
          <w:rFonts w:ascii="仿宋_GB2312" w:hAnsi="ˎ̥" w:eastAsia="仿宋_GB2312"/>
          <w:color w:val="000000" w:themeColor="text1"/>
          <w:sz w:val="32"/>
          <w:szCs w:val="32"/>
        </w:rPr>
        <w:t>相比，</w:t>
      </w:r>
      <w:r>
        <w:rPr>
          <w:rFonts w:hint="eastAsia" w:ascii="仿宋_GB2312" w:hAnsi="ˎ̥" w:eastAsia="仿宋_GB2312"/>
          <w:color w:val="000000" w:themeColor="text1"/>
          <w:sz w:val="32"/>
          <w:szCs w:val="32"/>
        </w:rPr>
        <w:t>“三公”经费支出增加减少1.22万元</w:t>
      </w:r>
      <w:r>
        <w:rPr>
          <w:rFonts w:ascii="仿宋_GB2312" w:hAnsi="ˎ̥" w:eastAsia="仿宋_GB2312"/>
          <w:color w:val="000000" w:themeColor="text1"/>
          <w:sz w:val="32"/>
          <w:szCs w:val="32"/>
        </w:rPr>
        <w:t>，</w:t>
      </w:r>
      <w:r>
        <w:rPr>
          <w:rFonts w:hint="eastAsia" w:ascii="仿宋_GB2312" w:hAnsi="ˎ̥" w:eastAsia="仿宋_GB2312"/>
          <w:color w:val="000000" w:themeColor="text1"/>
          <w:sz w:val="32"/>
          <w:szCs w:val="32"/>
        </w:rPr>
        <w:t>下降30%，</w:t>
      </w:r>
      <w:r>
        <w:rPr>
          <w:rFonts w:ascii="仿宋_GB2312" w:hAnsi="ˎ̥" w:eastAsia="仿宋_GB2312"/>
          <w:color w:val="000000" w:themeColor="text1"/>
          <w:sz w:val="32"/>
          <w:szCs w:val="32"/>
        </w:rPr>
        <w:t>主要原因是</w:t>
      </w:r>
      <w:r>
        <w:rPr>
          <w:rFonts w:hint="eastAsia" w:ascii="仿宋_GB2312" w:hAnsi="ˎ̥" w:eastAsia="仿宋_GB2312"/>
          <w:color w:val="000000" w:themeColor="text1"/>
          <w:sz w:val="32"/>
          <w:szCs w:val="32"/>
        </w:rPr>
        <w:t>公车使用时间减少，导致维修维护频次减少。</w:t>
      </w:r>
    </w:p>
    <w:p>
      <w:pPr>
        <w:spacing w:line="578" w:lineRule="exact"/>
        <w:rPr>
          <w:rFonts w:ascii="楷体" w:hAnsi="楷体" w:eastAsia="楷体" w:cs="楷体"/>
          <w:color w:val="000000" w:themeColor="text1"/>
          <w:sz w:val="32"/>
          <w:szCs w:val="32"/>
        </w:rPr>
      </w:pPr>
      <w:r>
        <w:rPr>
          <w:rFonts w:hint="eastAsia" w:ascii="楷体" w:hAnsi="楷体" w:eastAsia="楷体" w:cs="楷体"/>
          <w:b/>
          <w:bCs/>
          <w:color w:val="000000" w:themeColor="text1"/>
          <w:sz w:val="32"/>
          <w:szCs w:val="32"/>
        </w:rPr>
        <w:t xml:space="preserve">   </w:t>
      </w:r>
      <w:r>
        <w:rPr>
          <w:rFonts w:hint="eastAsia" w:ascii="楷体" w:hAnsi="楷体" w:eastAsia="楷体" w:cs="楷体"/>
          <w:color w:val="000000" w:themeColor="text1"/>
          <w:sz w:val="32"/>
          <w:szCs w:val="32"/>
        </w:rPr>
        <w:t xml:space="preserve"> （二）财政拨款“三公”经费支出决算具体情况说明</w:t>
      </w:r>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年度财政拨款“三公”经费支出决算中，因公出国（境）费支出决算</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万元，占0%；公务用车购置及运行维护费支出决算</w:t>
      </w:r>
      <w:r>
        <w:rPr>
          <w:rFonts w:ascii="仿宋_GB2312" w:hAnsi="ˎ̥" w:eastAsia="仿宋_GB2312"/>
          <w:color w:val="000000" w:themeColor="text1"/>
          <w:sz w:val="32"/>
          <w:szCs w:val="32"/>
        </w:rPr>
        <w:t>0.54</w:t>
      </w:r>
      <w:r>
        <w:rPr>
          <w:rFonts w:hint="eastAsia" w:ascii="仿宋_GB2312" w:hAnsi="ˎ̥" w:eastAsia="仿宋_GB2312"/>
          <w:color w:val="000000" w:themeColor="text1"/>
          <w:sz w:val="32"/>
          <w:szCs w:val="32"/>
        </w:rPr>
        <w:t>万元，占100%；公务接待费支出决算</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万元，占0%。具体情况如下：</w:t>
      </w:r>
    </w:p>
    <w:p>
      <w:pPr>
        <w:spacing w:line="578" w:lineRule="exact"/>
        <w:ind w:firstLine="643" w:firstLineChars="200"/>
        <w:rPr>
          <w:rFonts w:ascii="仿宋_GB2312" w:hAnsi="ˎ̥" w:eastAsia="仿宋_GB2312"/>
          <w:color w:val="000000" w:themeColor="text1"/>
          <w:sz w:val="32"/>
          <w:szCs w:val="32"/>
        </w:rPr>
      </w:pPr>
      <w:r>
        <w:rPr>
          <w:rFonts w:hint="eastAsia" w:ascii="仿宋_GB2312" w:hAnsi="ˎ̥" w:eastAsia="仿宋_GB2312"/>
          <w:b/>
          <w:color w:val="000000" w:themeColor="text1"/>
          <w:sz w:val="32"/>
          <w:szCs w:val="32"/>
        </w:rPr>
        <w:t>1.因公出国（境）费</w:t>
      </w:r>
      <w:r>
        <w:rPr>
          <w:rFonts w:hint="eastAsia" w:ascii="仿宋_GB2312" w:hAnsi="ˎ̥" w:eastAsia="仿宋_GB2312"/>
          <w:color w:val="000000" w:themeColor="text1"/>
          <w:sz w:val="32"/>
          <w:szCs w:val="32"/>
        </w:rPr>
        <w:t>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万元。与2023年度相同</w:t>
      </w:r>
    </w:p>
    <w:p>
      <w:pPr>
        <w:spacing w:line="578" w:lineRule="exact"/>
        <w:rPr>
          <w:rFonts w:ascii="仿宋_GB2312" w:hAnsi="ˎ̥" w:eastAsia="仿宋_GB2312"/>
          <w:color w:val="000000" w:themeColor="text1"/>
          <w:sz w:val="32"/>
          <w:szCs w:val="32"/>
        </w:rPr>
      </w:pPr>
      <w:r>
        <w:rPr>
          <w:rFonts w:hint="eastAsia" w:ascii="仿宋_GB2312" w:hAnsi="ˎ̥" w:eastAsia="仿宋_GB2312"/>
          <w:b/>
          <w:color w:val="000000" w:themeColor="text1"/>
          <w:sz w:val="32"/>
          <w:szCs w:val="32"/>
        </w:rPr>
        <w:t xml:space="preserve">    2.公务用车购置及运行维护费</w:t>
      </w:r>
      <w:r>
        <w:rPr>
          <w:rFonts w:hint="eastAsia" w:ascii="仿宋_GB2312" w:hAnsi="ˎ̥" w:eastAsia="仿宋_GB2312"/>
          <w:bCs/>
          <w:color w:val="000000" w:themeColor="text1"/>
          <w:sz w:val="32"/>
          <w:szCs w:val="32"/>
        </w:rPr>
        <w:t>支出</w:t>
      </w:r>
      <w:r>
        <w:rPr>
          <w:rFonts w:ascii="仿宋_GB2312" w:hAnsi="ˎ̥" w:eastAsia="仿宋_GB2312"/>
          <w:color w:val="000000" w:themeColor="text1"/>
          <w:sz w:val="32"/>
          <w:szCs w:val="32"/>
        </w:rPr>
        <w:t>0.54</w:t>
      </w:r>
      <w:r>
        <w:rPr>
          <w:rFonts w:hint="eastAsia" w:ascii="仿宋_GB2312" w:hAnsi="ˎ̥" w:eastAsia="仿宋_GB2312"/>
          <w:color w:val="000000" w:themeColor="text1"/>
          <w:sz w:val="32"/>
          <w:szCs w:val="32"/>
        </w:rPr>
        <w:t>万元。其中：</w:t>
      </w:r>
    </w:p>
    <w:p>
      <w:pPr>
        <w:spacing w:line="578" w:lineRule="exact"/>
        <w:ind w:firstLine="643" w:firstLineChars="200"/>
        <w:rPr>
          <w:rFonts w:ascii="仿宋_GB2312" w:hAnsi="ˎ̥" w:eastAsia="仿宋_GB2312"/>
          <w:color w:val="000000" w:themeColor="text1"/>
          <w:sz w:val="32"/>
          <w:szCs w:val="32"/>
        </w:rPr>
      </w:pPr>
      <w:r>
        <w:rPr>
          <w:rFonts w:hint="eastAsia" w:ascii="仿宋_GB2312" w:hAnsi="ˎ̥" w:eastAsia="仿宋_GB2312"/>
          <w:b/>
          <w:color w:val="000000" w:themeColor="text1"/>
          <w:sz w:val="32"/>
          <w:szCs w:val="32"/>
        </w:rPr>
        <w:t>公务用车购置</w:t>
      </w:r>
      <w:r>
        <w:rPr>
          <w:rFonts w:hint="eastAsia" w:ascii="仿宋_GB2312" w:hAnsi="ˎ̥" w:eastAsia="仿宋_GB2312"/>
          <w:bCs/>
          <w:color w:val="000000" w:themeColor="text1"/>
          <w:sz w:val="32"/>
          <w:szCs w:val="32"/>
        </w:rPr>
        <w:t>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w:t>
      </w:r>
    </w:p>
    <w:p>
      <w:pPr>
        <w:spacing w:line="578" w:lineRule="exact"/>
        <w:ind w:firstLine="643" w:firstLineChars="200"/>
        <w:rPr>
          <w:rFonts w:ascii="仿宋_GB2312" w:hAnsi="ˎ̥" w:eastAsia="仿宋_GB2312"/>
          <w:color w:val="000000" w:themeColor="text1"/>
          <w:sz w:val="32"/>
          <w:szCs w:val="32"/>
        </w:rPr>
      </w:pPr>
      <w:r>
        <w:rPr>
          <w:rFonts w:hint="eastAsia" w:ascii="仿宋_GB2312" w:hAnsi="ˎ̥" w:eastAsia="仿宋_GB2312"/>
          <w:b/>
          <w:color w:val="000000" w:themeColor="text1"/>
          <w:sz w:val="32"/>
          <w:szCs w:val="32"/>
        </w:rPr>
        <w:t>公务用车运行维护费</w:t>
      </w:r>
      <w:r>
        <w:rPr>
          <w:rFonts w:hint="eastAsia" w:ascii="仿宋_GB2312" w:hAnsi="ˎ̥" w:eastAsia="仿宋_GB2312"/>
          <w:color w:val="000000" w:themeColor="text1"/>
          <w:sz w:val="32"/>
          <w:szCs w:val="32"/>
        </w:rPr>
        <w:t>支出</w:t>
      </w:r>
      <w:r>
        <w:rPr>
          <w:rFonts w:ascii="仿宋_GB2312" w:hAnsi="ˎ̥" w:eastAsia="仿宋_GB2312"/>
          <w:color w:val="000000" w:themeColor="text1"/>
          <w:sz w:val="32"/>
          <w:szCs w:val="32"/>
        </w:rPr>
        <w:t>0.54</w:t>
      </w:r>
      <w:r>
        <w:rPr>
          <w:rFonts w:hint="eastAsia" w:ascii="仿宋_GB2312" w:hAnsi="ˎ̥" w:eastAsia="仿宋_GB2312"/>
          <w:color w:val="000000" w:themeColor="text1"/>
          <w:sz w:val="32"/>
          <w:szCs w:val="32"/>
        </w:rPr>
        <w:t>万元，主要用于加油和年检维修。</w:t>
      </w:r>
    </w:p>
    <w:p>
      <w:pPr>
        <w:spacing w:line="578" w:lineRule="exact"/>
        <w:rPr>
          <w:rFonts w:ascii="仿宋_GB2312" w:hAnsi="ˎ̥" w:eastAsia="仿宋_GB2312"/>
          <w:color w:val="000000" w:themeColor="text1"/>
          <w:sz w:val="32"/>
          <w:szCs w:val="32"/>
        </w:rPr>
      </w:pPr>
      <w:r>
        <w:rPr>
          <w:rFonts w:hint="eastAsia" w:ascii="仿宋_GB2312" w:hAnsi="ˎ̥" w:eastAsia="仿宋_GB2312"/>
          <w:bCs/>
          <w:color w:val="000000" w:themeColor="text1"/>
          <w:sz w:val="32"/>
          <w:szCs w:val="32"/>
        </w:rPr>
        <w:t>公务用车购置及运行维护费支出决算数</w:t>
      </w:r>
      <w:r>
        <w:rPr>
          <w:rFonts w:hint="eastAsia" w:ascii="仿宋_GB2312" w:hAnsi="ˎ̥" w:eastAsia="仿宋_GB2312"/>
          <w:color w:val="000000" w:themeColor="text1"/>
          <w:sz w:val="32"/>
          <w:szCs w:val="32"/>
        </w:rPr>
        <w:t>比预算数相同于2023年度相比公务用车人购置及运行维护费支出减少1.22万元，完成预算的30%。</w:t>
      </w:r>
      <w:r>
        <w:rPr>
          <w:rFonts w:ascii="仿宋_GB2312" w:hAnsi="ˎ̥" w:eastAsia="仿宋_GB2312"/>
          <w:color w:val="000000" w:themeColor="text1"/>
          <w:sz w:val="32"/>
          <w:szCs w:val="32"/>
        </w:rPr>
        <w:t>主要原因是</w:t>
      </w:r>
      <w:r>
        <w:rPr>
          <w:rFonts w:hint="eastAsia" w:ascii="仿宋_GB2312" w:hAnsi="ˎ̥" w:eastAsia="仿宋_GB2312"/>
          <w:color w:val="000000" w:themeColor="text1"/>
          <w:sz w:val="32"/>
          <w:szCs w:val="32"/>
        </w:rPr>
        <w:t>公车使用时间减少，导致维修维护频次减少。</w:t>
      </w:r>
    </w:p>
    <w:p>
      <w:pPr>
        <w:spacing w:line="578" w:lineRule="exact"/>
        <w:rPr>
          <w:rFonts w:ascii="仿宋_GB2312" w:hAnsi="ˎ̥" w:eastAsia="仿宋_GB2312"/>
          <w:color w:val="000000" w:themeColor="text1"/>
          <w:sz w:val="32"/>
          <w:szCs w:val="32"/>
        </w:rPr>
      </w:pPr>
      <w:r>
        <w:rPr>
          <w:rFonts w:hint="eastAsia" w:ascii="仿宋_GB2312" w:hAnsi="ˎ̥" w:eastAsia="仿宋_GB2312"/>
          <w:b/>
          <w:color w:val="000000" w:themeColor="text1"/>
          <w:sz w:val="32"/>
          <w:szCs w:val="32"/>
        </w:rPr>
        <w:t xml:space="preserve">    3.公务接待费</w:t>
      </w:r>
      <w:r>
        <w:rPr>
          <w:rFonts w:hint="eastAsia" w:ascii="仿宋_GB2312" w:hAnsi="ˎ̥" w:eastAsia="仿宋_GB2312"/>
          <w:bCs/>
          <w:color w:val="000000" w:themeColor="text1"/>
          <w:sz w:val="32"/>
          <w:szCs w:val="32"/>
        </w:rPr>
        <w:t>支出</w:t>
      </w:r>
      <w:r>
        <w:rPr>
          <w:rFonts w:ascii="仿宋_GB2312" w:hAnsi="ˎ̥" w:eastAsia="仿宋_GB2312"/>
          <w:color w:val="000000" w:themeColor="text1"/>
          <w:sz w:val="32"/>
          <w:szCs w:val="32"/>
        </w:rPr>
        <w:t>0.00</w:t>
      </w:r>
      <w:r>
        <w:rPr>
          <w:rFonts w:hint="eastAsia" w:ascii="仿宋_GB2312" w:hAnsi="ˎ̥" w:eastAsia="仿宋_GB2312"/>
          <w:color w:val="000000" w:themeColor="text1"/>
          <w:sz w:val="32"/>
          <w:szCs w:val="32"/>
        </w:rPr>
        <w:t>万元，与2023年度相同</w:t>
      </w:r>
    </w:p>
    <w:p>
      <w:pPr>
        <w:spacing w:line="578"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十、预算绩效情况说明</w:t>
      </w:r>
    </w:p>
    <w:p>
      <w:pPr>
        <w:spacing w:line="578" w:lineRule="exact"/>
        <w:ind w:firstLine="640" w:firstLineChars="200"/>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（一）绩效管理工作开展情况</w:t>
      </w:r>
    </w:p>
    <w:p>
      <w:pPr>
        <w:wordWrap w:val="0"/>
        <w:spacing w:line="301" w:lineRule="atLeast"/>
        <w:rPr>
          <w:rFonts w:ascii="仿宋_GB2312" w:eastAsia="仿宋_GB2312"/>
          <w:color w:val="000000" w:themeColor="text1"/>
          <w:sz w:val="32"/>
          <w:szCs w:val="32"/>
        </w:rPr>
      </w:pPr>
      <w:r>
        <w:rPr>
          <w:rFonts w:hint="eastAsia" w:ascii="仿宋_GB2312" w:eastAsia="仿宋_GB2312"/>
          <w:color w:val="000000" w:themeColor="text1"/>
          <w:sz w:val="32"/>
          <w:szCs w:val="32"/>
        </w:rPr>
        <w:t>根据财政预算绩效管理要求，可按照如下格式说明：根据预算管理要求，我办组织对</w:t>
      </w:r>
      <w:r>
        <w:rPr>
          <w:rFonts w:ascii="仿宋_GB2312" w:eastAsia="仿宋_GB2312"/>
          <w:color w:val="000000" w:themeColor="text1"/>
          <w:sz w:val="32"/>
          <w:szCs w:val="32"/>
        </w:rPr>
        <w:t>2024</w:t>
      </w:r>
      <w:r>
        <w:rPr>
          <w:rFonts w:hint="eastAsia" w:ascii="仿宋_GB2312" w:eastAsia="仿宋_GB2312"/>
          <w:color w:val="000000" w:themeColor="text1"/>
          <w:sz w:val="32"/>
          <w:szCs w:val="32"/>
        </w:rPr>
        <w:t>年度一般公共预算项目支出全面开展绩效自评</w:t>
      </w:r>
      <w:r>
        <w:rPr>
          <w:rFonts w:ascii="仿宋_GB2312" w:eastAsia="仿宋_GB2312"/>
          <w:color w:val="000000" w:themeColor="text1"/>
          <w:sz w:val="32"/>
          <w:szCs w:val="32"/>
        </w:rPr>
        <w:t>,</w:t>
      </w:r>
      <w:r>
        <w:rPr>
          <w:rFonts w:hint="eastAsia" w:ascii="仿宋_GB2312" w:eastAsia="仿宋_GB2312"/>
          <w:color w:val="000000" w:themeColor="text1"/>
          <w:sz w:val="32"/>
          <w:szCs w:val="32"/>
        </w:rPr>
        <w:t>共涉及资金142.4万元，占一般公共预算项目支出总额的20%。共组织对“档案管理工作经费”“</w:t>
      </w:r>
      <w:r>
        <w:rPr>
          <w:rFonts w:hint="eastAsia"/>
          <w:color w:val="000000" w:themeColor="text1"/>
        </w:rPr>
        <w:t xml:space="preserve"> </w:t>
      </w:r>
      <w:r>
        <w:rPr>
          <w:rFonts w:hint="eastAsia" w:ascii="仿宋_GB2312" w:eastAsia="仿宋_GB2312"/>
          <w:color w:val="000000" w:themeColor="text1"/>
          <w:sz w:val="32"/>
          <w:szCs w:val="32"/>
        </w:rPr>
        <w:t>电子政务内网分级保护费用”“</w:t>
      </w:r>
      <w:r>
        <w:rPr>
          <w:rFonts w:hint="eastAsia"/>
          <w:color w:val="000000" w:themeColor="text1"/>
        </w:rPr>
        <w:t xml:space="preserve"> </w:t>
      </w:r>
      <w:r>
        <w:rPr>
          <w:rFonts w:hint="eastAsia" w:ascii="仿宋_GB2312" w:eastAsia="仿宋_GB2312"/>
          <w:color w:val="000000" w:themeColor="text1"/>
          <w:sz w:val="32"/>
          <w:szCs w:val="32"/>
        </w:rPr>
        <w:t>2024年至2026年度安邦智库经费</w:t>
      </w:r>
      <w:r>
        <w:rPr>
          <w:rFonts w:hint="eastAsia" w:ascii="仿宋" w:hAnsi="仿宋" w:eastAsia="仿宋" w:cs="仿宋"/>
          <w:color w:val="000000" w:themeColor="text1"/>
          <w:sz w:val="32"/>
          <w:szCs w:val="32"/>
        </w:rPr>
        <w:t>”“</w:t>
      </w:r>
      <w:r>
        <w:rPr>
          <w:rFonts w:hint="eastAsia" w:ascii="仿宋" w:hAnsi="仿宋" w:eastAsia="仿宋" w:cs="仿宋"/>
          <w:color w:val="000000" w:themeColor="text1"/>
        </w:rPr>
        <w:t xml:space="preserve"> </w:t>
      </w:r>
      <w:r>
        <w:rPr>
          <w:rFonts w:hint="eastAsia" w:ascii="仿宋" w:hAnsi="仿宋" w:eastAsia="仿宋" w:cs="仿宋"/>
          <w:color w:val="000000" w:themeColor="text1"/>
          <w:sz w:val="32"/>
          <w:szCs w:val="32"/>
        </w:rPr>
        <w:t>回访经费”“</w:t>
      </w:r>
      <w:r>
        <w:rPr>
          <w:rFonts w:hint="eastAsia" w:ascii="仿宋" w:hAnsi="仿宋" w:eastAsia="仿宋" w:cs="仿宋"/>
          <w:color w:val="000000" w:themeColor="text1"/>
          <w:sz w:val="16"/>
          <w:szCs w:val="16"/>
          <w:shd w:val="clear" w:color="auto" w:fill="FFFFFF"/>
        </w:rPr>
        <w:t xml:space="preserve"> </w:t>
      </w:r>
      <w:r>
        <w:rPr>
          <w:rFonts w:hint="eastAsia" w:ascii="仿宋" w:hAnsi="仿宋" w:eastAsia="仿宋" w:cs="仿宋"/>
          <w:color w:val="000000" w:themeColor="text1"/>
          <w:sz w:val="32"/>
          <w:szCs w:val="32"/>
          <w:shd w:val="clear" w:color="auto" w:fill="FFFFFF"/>
        </w:rPr>
        <w:t>电子政务内网横向资金</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shd w:val="clear" w:color="auto" w:fill="FFFFFF"/>
        </w:rPr>
        <w:t xml:space="preserve"> 两办网络专线租赁费</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shd w:val="clear" w:color="auto" w:fill="FFFFFF"/>
        </w:rPr>
        <w:t xml:space="preserve"> 机要局加班费</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shd w:val="clear" w:color="auto" w:fill="FFFFFF"/>
        </w:rPr>
        <w:t xml:space="preserve"> 党政督查室工作经费</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kern w:val="0"/>
          <w:sz w:val="32"/>
          <w:szCs w:val="32"/>
        </w:rPr>
        <w:t>信息办和整改工作经费</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shd w:val="clear" w:color="auto" w:fill="FFFFFF"/>
        </w:rPr>
        <w:t xml:space="preserve"> 县委书记工作经费</w:t>
      </w:r>
      <w:r>
        <w:rPr>
          <w:rFonts w:hint="eastAsia" w:ascii="仿宋" w:hAnsi="仿宋" w:eastAsia="仿宋" w:cs="仿宋"/>
          <w:color w:val="000000" w:themeColor="text1"/>
          <w:sz w:val="32"/>
          <w:szCs w:val="32"/>
        </w:rPr>
        <w:t xml:space="preserve">”“ </w:t>
      </w:r>
      <w:r>
        <w:rPr>
          <w:rFonts w:hint="eastAsia" w:ascii="仿宋" w:hAnsi="仿宋" w:eastAsia="仿宋" w:cs="仿宋"/>
          <w:color w:val="000000" w:themeColor="text1"/>
          <w:kern w:val="0"/>
          <w:sz w:val="32"/>
          <w:szCs w:val="32"/>
        </w:rPr>
        <w:t>地方志编纂经费</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shd w:val="clear" w:color="auto" w:fill="FFFFFF"/>
        </w:rPr>
        <w:t xml:space="preserve"> 密码管理工作经费</w:t>
      </w:r>
      <w:r>
        <w:rPr>
          <w:rFonts w:hint="eastAsia" w:ascii="仿宋" w:hAnsi="仿宋" w:eastAsia="仿宋" w:cs="仿宋"/>
          <w:color w:val="000000" w:themeColor="text1"/>
          <w:sz w:val="32"/>
          <w:szCs w:val="32"/>
        </w:rPr>
        <w:t>”“</w:t>
      </w:r>
      <w:r>
        <w:rPr>
          <w:rFonts w:hint="eastAsia" w:ascii="仿宋" w:hAnsi="仿宋" w:eastAsia="仿宋" w:cs="仿宋"/>
          <w:color w:val="000000" w:themeColor="text1"/>
          <w:sz w:val="32"/>
          <w:szCs w:val="32"/>
          <w:shd w:val="clear" w:color="auto" w:fill="FFFFFF"/>
        </w:rPr>
        <w:t xml:space="preserve"> 保密和党史工作经费</w:t>
      </w:r>
      <w:r>
        <w:rPr>
          <w:rFonts w:hint="eastAsia" w:ascii="仿宋" w:hAnsi="仿宋" w:eastAsia="仿宋" w:cs="仿宋"/>
          <w:color w:val="000000" w:themeColor="text1"/>
          <w:sz w:val="32"/>
          <w:szCs w:val="32"/>
        </w:rPr>
        <w:t>”</w:t>
      </w:r>
      <w:r>
        <w:rPr>
          <w:rFonts w:hint="eastAsia" w:ascii="仿宋_GB2312" w:eastAsia="仿宋_GB2312"/>
          <w:color w:val="000000" w:themeColor="text1"/>
          <w:sz w:val="32"/>
          <w:szCs w:val="32"/>
        </w:rPr>
        <w:t>等13个项目开展了部门评价，涉及一般公共预算支出142.4万元。从评价情况来看，2024年区委办各项经费绩效指标不存在偏差，完成了各项指标任务。</w:t>
      </w:r>
    </w:p>
    <w:p>
      <w:pPr>
        <w:wordWrap w:val="0"/>
        <w:spacing w:line="301" w:lineRule="atLeast"/>
        <w:rPr>
          <w:rFonts w:ascii="Helvetica" w:hAnsi="Helvetica" w:cs="Segoe UI"/>
          <w:color w:val="000000" w:themeColor="text1"/>
          <w:kern w:val="0"/>
          <w:sz w:val="16"/>
          <w:szCs w:val="16"/>
        </w:rPr>
      </w:pPr>
      <w:r>
        <w:rPr>
          <w:rFonts w:hint="eastAsia" w:ascii="仿宋_GB2312" w:eastAsia="仿宋_GB2312"/>
          <w:color w:val="000000" w:themeColor="text1"/>
          <w:sz w:val="32"/>
          <w:szCs w:val="32"/>
        </w:rPr>
        <w:t xml:space="preserve">     完成部门整体支出绩效评价，涉及一般公共预算支出0万元，政府性基金预算支出0万元。从评价情况来看，2024年区委办各项经费绩效指标不存在偏差，完成了各项指标任务。</w:t>
      </w:r>
    </w:p>
    <w:p>
      <w:pPr>
        <w:spacing w:line="578" w:lineRule="exact"/>
        <w:ind w:firstLine="640" w:firstLineChars="200"/>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（二）部门决算中项目绩效自评结果：</w:t>
      </w:r>
    </w:p>
    <w:p>
      <w:pPr>
        <w:spacing w:line="578"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项目绩效目标完成情况：全部已完成</w:t>
      </w:r>
    </w:p>
    <w:p>
      <w:pPr>
        <w:spacing w:line="578" w:lineRule="exact"/>
        <w:ind w:firstLine="640" w:firstLineChars="200"/>
        <w:rPr>
          <w:rFonts w:ascii="方正仿宋简体" w:eastAsia="方正仿宋简体"/>
          <w:b/>
          <w:color w:val="000000" w:themeColor="text1"/>
          <w:sz w:val="32"/>
          <w:szCs w:val="32"/>
        </w:rPr>
      </w:pPr>
      <w:r>
        <w:rPr>
          <w:rFonts w:hint="eastAsia" w:ascii="方正仿宋简体" w:eastAsia="方正仿宋简体"/>
          <w:b/>
          <w:color w:val="000000" w:themeColor="text1"/>
          <w:sz w:val="32"/>
          <w:szCs w:val="32"/>
        </w:rPr>
        <w:t>区委办项目绩效自评结果均为优</w:t>
      </w:r>
    </w:p>
    <w:p>
      <w:pPr>
        <w:spacing w:line="578"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存在问题及下一步改进措施；预算编制准确性、科学性不够高，预算执行进度较慢，预算绩效管理意识依然薄弱，预算绩效目标设定还不够科学，绩效自评海不够准确规范，绩效结果运用还需强化，“无效必问责”的制度还未健全。将加强推进项目绩效自评工作。</w:t>
      </w:r>
    </w:p>
    <w:p>
      <w:pPr>
        <w:spacing w:line="578" w:lineRule="exact"/>
        <w:ind w:firstLine="640" w:firstLineChars="200"/>
        <w:rPr>
          <w:rFonts w:hint="eastAsia" w:ascii="仿宋" w:hAnsi="仿宋" w:eastAsia="仿宋" w:cs="仿宋"/>
          <w:color w:val="000000" w:themeColor="text1"/>
          <w:kern w:val="0"/>
          <w:sz w:val="32"/>
          <w:szCs w:val="32"/>
        </w:rPr>
      </w:pPr>
      <w:r>
        <w:rPr>
          <w:rFonts w:hint="eastAsia" w:ascii="仿宋" w:hAnsi="仿宋" w:eastAsia="仿宋" w:cs="仿宋"/>
          <w:bCs/>
          <w:color w:val="000000" w:themeColor="text1"/>
          <w:sz w:val="32"/>
          <w:szCs w:val="32"/>
        </w:rPr>
        <w:t>（三）部门评价结果：优</w:t>
      </w:r>
    </w:p>
    <w:p>
      <w:pPr>
        <w:spacing w:line="578"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bCs/>
          <w:color w:val="000000" w:themeColor="text1"/>
          <w:sz w:val="32"/>
          <w:szCs w:val="32"/>
        </w:rPr>
        <w:t>（四）财政评价结果：无</w:t>
      </w:r>
    </w:p>
    <w:p>
      <w:pPr>
        <w:spacing w:line="578"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十一、其他重要事项情况说明</w:t>
      </w:r>
    </w:p>
    <w:p>
      <w:pPr>
        <w:spacing w:line="578" w:lineRule="exact"/>
        <w:ind w:firstLine="640" w:firstLineChars="200"/>
        <w:rPr>
          <w:rFonts w:ascii="楷体" w:hAnsi="楷体" w:eastAsia="楷体" w:cs="楷体"/>
          <w:bCs/>
          <w:color w:val="000000" w:themeColor="text1"/>
          <w:sz w:val="32"/>
          <w:szCs w:val="32"/>
        </w:rPr>
      </w:pPr>
      <w:bookmarkStart w:id="92" w:name="_Toc32639_WPSOffice_Level2"/>
      <w:bookmarkStart w:id="93" w:name="_Toc5978_WPSOffice_Level2"/>
      <w:bookmarkStart w:id="94" w:name="_Toc18325_WPSOffice_Level2"/>
      <w:bookmarkStart w:id="95" w:name="_Toc15565_WPSOffice_Level2"/>
      <w:bookmarkStart w:id="96" w:name="_Toc23598_WPSOffice_Level2"/>
      <w:bookmarkStart w:id="97" w:name="_Toc15262_WPSOffice_Level2"/>
      <w:r>
        <w:rPr>
          <w:rFonts w:hint="eastAsia" w:ascii="楷体" w:hAnsi="楷体" w:eastAsia="楷体" w:cs="楷体"/>
          <w:bCs/>
          <w:color w:val="000000" w:themeColor="text1"/>
          <w:sz w:val="32"/>
          <w:szCs w:val="32"/>
        </w:rPr>
        <w:t>（一）机关运行经费支出情况</w:t>
      </w:r>
      <w:bookmarkEnd w:id="92"/>
      <w:bookmarkEnd w:id="93"/>
      <w:bookmarkEnd w:id="94"/>
      <w:bookmarkEnd w:id="95"/>
      <w:bookmarkEnd w:id="96"/>
      <w:bookmarkEnd w:id="97"/>
    </w:p>
    <w:p>
      <w:pPr>
        <w:spacing w:line="578" w:lineRule="exact"/>
        <w:ind w:firstLine="640" w:firstLineChars="200"/>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区委办机关运行经费0.54万元，比年初预算减少4.5万元，完成预算的11%；与2023年度相比，机关运行经费减少34.38万元，下降1.55%。主要原因是：办公设施设备购置经减少资产运行维护支出减少信息系统运行维护支出减少人员编制数量减少</w:t>
      </w:r>
      <w:bookmarkStart w:id="98" w:name="_Toc32689_WPSOffice_Level2"/>
      <w:bookmarkStart w:id="99" w:name="_Toc3131_WPSOffice_Level2"/>
      <w:bookmarkStart w:id="100" w:name="_Toc23966_WPSOffice_Level2"/>
      <w:bookmarkStart w:id="101" w:name="_Toc13084_WPSOffice_Level2"/>
      <w:bookmarkStart w:id="102" w:name="_Toc25333_WPSOffice_Level2"/>
      <w:bookmarkStart w:id="103" w:name="_Toc30383_WPSOffice_Level2"/>
      <w:r>
        <w:rPr>
          <w:rFonts w:hint="eastAsia" w:ascii="仿宋_GB2312" w:hAnsi="ˎ̥" w:eastAsia="仿宋_GB2312"/>
          <w:color w:val="000000" w:themeColor="text1"/>
          <w:sz w:val="32"/>
          <w:szCs w:val="32"/>
        </w:rPr>
        <w:t>，落实过紧日子要求减轻经费支出。</w:t>
      </w:r>
    </w:p>
    <w:p>
      <w:pPr>
        <w:spacing w:line="578" w:lineRule="exact"/>
        <w:ind w:firstLine="640" w:firstLineChars="200"/>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（二）政府采购支出情况</w:t>
      </w:r>
      <w:bookmarkEnd w:id="98"/>
      <w:bookmarkEnd w:id="99"/>
      <w:bookmarkEnd w:id="100"/>
      <w:bookmarkEnd w:id="101"/>
      <w:bookmarkEnd w:id="102"/>
      <w:bookmarkEnd w:id="103"/>
    </w:p>
    <w:p>
      <w:pPr>
        <w:spacing w:line="578" w:lineRule="exact"/>
        <w:ind w:firstLine="640" w:firstLineChars="200"/>
        <w:jc w:val="left"/>
        <w:rPr>
          <w:rFonts w:ascii="仿宋_GB2312" w:hAnsi="ˎ̥" w:eastAsia="仿宋_GB2312"/>
          <w:color w:val="000000" w:themeColor="text1"/>
          <w:sz w:val="32"/>
          <w:szCs w:val="32"/>
        </w:rPr>
      </w:pPr>
      <w:r>
        <w:rPr>
          <w:rFonts w:ascii="仿宋_GB2312" w:hAnsi="ˎ̥" w:eastAsia="仿宋_GB2312"/>
          <w:color w:val="000000" w:themeColor="text1"/>
          <w:sz w:val="32"/>
          <w:szCs w:val="32"/>
        </w:rPr>
        <w:t>2024</w:t>
      </w:r>
      <w:r>
        <w:rPr>
          <w:rFonts w:hint="eastAsia" w:ascii="仿宋_GB2312" w:hAnsi="ˎ̥" w:eastAsia="仿宋_GB2312"/>
          <w:color w:val="000000" w:themeColor="text1"/>
          <w:sz w:val="32"/>
          <w:szCs w:val="32"/>
        </w:rPr>
        <w:t>年度区委办政府采购支出总额0万元，</w:t>
      </w:r>
    </w:p>
    <w:p>
      <w:pPr>
        <w:spacing w:line="578" w:lineRule="exact"/>
        <w:ind w:firstLine="640" w:firstLineChars="200"/>
        <w:rPr>
          <w:rFonts w:ascii="楷体" w:hAnsi="楷体" w:eastAsia="楷体" w:cs="楷体"/>
          <w:bCs/>
          <w:color w:val="000000" w:themeColor="text1"/>
          <w:sz w:val="32"/>
          <w:szCs w:val="32"/>
        </w:rPr>
      </w:pPr>
      <w:bookmarkStart w:id="104" w:name="_Toc10902_WPSOffice_Level2"/>
      <w:bookmarkStart w:id="105" w:name="_Toc6016_WPSOffice_Level2"/>
      <w:bookmarkStart w:id="106" w:name="_Toc29584_WPSOffice_Level2"/>
      <w:bookmarkStart w:id="107" w:name="_Toc19989_WPSOffice_Level2"/>
      <w:bookmarkStart w:id="108" w:name="_Toc15129_WPSOffice_Level2"/>
      <w:bookmarkStart w:id="109" w:name="_Toc527_WPSOffice_Level2"/>
      <w:r>
        <w:rPr>
          <w:rFonts w:hint="eastAsia" w:ascii="楷体" w:hAnsi="楷体" w:eastAsia="楷体" w:cs="楷体"/>
          <w:bCs/>
          <w:color w:val="000000" w:themeColor="text1"/>
          <w:sz w:val="32"/>
          <w:szCs w:val="32"/>
        </w:rPr>
        <w:t>（三）国有资产占用情况</w:t>
      </w:r>
      <w:bookmarkEnd w:id="104"/>
      <w:bookmarkEnd w:id="105"/>
      <w:bookmarkEnd w:id="106"/>
      <w:bookmarkEnd w:id="107"/>
      <w:bookmarkEnd w:id="108"/>
      <w:bookmarkEnd w:id="109"/>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bCs/>
          <w:color w:val="000000" w:themeColor="text1"/>
          <w:sz w:val="32"/>
          <w:szCs w:val="32"/>
        </w:rPr>
        <w:t>截至</w:t>
      </w:r>
      <w:r>
        <w:rPr>
          <w:rFonts w:ascii="仿宋_GB2312" w:hAnsi="ˎ̥" w:eastAsia="仿宋_GB2312"/>
          <w:bCs/>
          <w:color w:val="000000" w:themeColor="text1"/>
          <w:sz w:val="32"/>
          <w:szCs w:val="32"/>
        </w:rPr>
        <w:t>2024</w:t>
      </w:r>
      <w:r>
        <w:rPr>
          <w:rFonts w:hint="eastAsia" w:ascii="仿宋_GB2312" w:hAnsi="ˎ̥" w:eastAsia="仿宋_GB2312"/>
          <w:bCs/>
          <w:color w:val="000000" w:themeColor="text1"/>
          <w:sz w:val="32"/>
          <w:szCs w:val="32"/>
        </w:rPr>
        <w:t>年12月31日，本部门拥有</w:t>
      </w:r>
      <w:r>
        <w:rPr>
          <w:rFonts w:hint="eastAsia" w:ascii="仿宋_GB2312" w:hAnsi="ˎ̥" w:eastAsia="仿宋_GB2312"/>
          <w:color w:val="000000" w:themeColor="text1"/>
          <w:sz w:val="32"/>
          <w:szCs w:val="32"/>
        </w:rPr>
        <w:t>房屋面积0平方米，</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其中：办公用房0平方米，业务用房0平方米，其他（不含构筑物）0平方米。</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本部门共有1辆车，其中其他用车1辆。</w:t>
      </w:r>
    </w:p>
    <w:p>
      <w:pPr>
        <w:spacing w:line="578" w:lineRule="exact"/>
        <w:jc w:val="center"/>
        <w:rPr>
          <w:rFonts w:ascii="黑体" w:hAnsi="ˎ̥" w:eastAsia="黑体"/>
          <w:color w:val="000000" w:themeColor="text1"/>
          <w:sz w:val="32"/>
          <w:szCs w:val="32"/>
        </w:rPr>
      </w:pPr>
      <w:bookmarkStart w:id="110" w:name="_Toc8874_WPSOffice_Level1"/>
      <w:bookmarkStart w:id="111" w:name="_Toc11039_WPSOffice_Level1"/>
      <w:bookmarkStart w:id="112" w:name="_Toc8808_WPSOffice_Level1"/>
      <w:bookmarkStart w:id="113" w:name="_Toc17580_WPSOffice_Level1"/>
      <w:bookmarkStart w:id="114" w:name="_Toc4398_WPSOffice_Level1"/>
      <w:bookmarkStart w:id="115" w:name="_Toc15425_WPSOffice_Level1"/>
    </w:p>
    <w:p>
      <w:pPr>
        <w:spacing w:line="578" w:lineRule="exact"/>
        <w:jc w:val="center"/>
        <w:rPr>
          <w:rFonts w:ascii="黑体" w:hAnsi="ˎ̥" w:eastAsia="黑体"/>
          <w:color w:val="000000" w:themeColor="text1"/>
          <w:sz w:val="32"/>
          <w:szCs w:val="32"/>
        </w:rPr>
      </w:pPr>
      <w:r>
        <w:rPr>
          <w:rFonts w:hint="eastAsia" w:ascii="黑体" w:hAnsi="ˎ̥" w:eastAsia="黑体"/>
          <w:color w:val="000000" w:themeColor="text1"/>
          <w:sz w:val="32"/>
          <w:szCs w:val="32"/>
        </w:rPr>
        <w:t>第四部分  名词解释</w:t>
      </w:r>
      <w:bookmarkEnd w:id="110"/>
      <w:bookmarkEnd w:id="111"/>
      <w:bookmarkEnd w:id="112"/>
      <w:bookmarkEnd w:id="113"/>
      <w:bookmarkEnd w:id="114"/>
      <w:bookmarkEnd w:id="115"/>
    </w:p>
    <w:p>
      <w:pPr>
        <w:spacing w:line="578" w:lineRule="exact"/>
        <w:jc w:val="center"/>
        <w:rPr>
          <w:rFonts w:ascii="黑体" w:hAnsi="ˎ̥" w:eastAsia="黑体"/>
          <w:color w:val="000000" w:themeColor="text1"/>
          <w:sz w:val="32"/>
          <w:szCs w:val="32"/>
        </w:rPr>
      </w:pPr>
    </w:p>
    <w:p>
      <w:pPr>
        <w:numPr>
          <w:ilvl w:val="0"/>
          <w:numId w:val="2"/>
        </w:num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财政拨款收入：指同级政府财政部门当年拨付的各类财政拨款。</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二、上级补助收入：指事业单位从主管部门和上级单位取得的非财政补助收入。</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三、事业收入：指事业单位开展专业业务活动及辅助活动取得的收入。</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四、经营收入：指事业单位在专业业务活动及其辅助活动之外开展非独立核算经营活动取得的收入。</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五、附属单位上缴收入：指事业单位取得附属独立核算单位根据有关规定上缴的收入。</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六、其他收入：指除上述“财政拨款收入”“事业收入”“上级补助收入”“经营收入”“附属单位上缴收入”等以外的收入。</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七、使用非财政拨款结余：指事业单位在当年的“财政拨款收入”“事业收入”“经营收入”“其他收入”等不足以安排当年支出的情况下，使用非同级财政拨款结余资金弥补本年度收支缺口。</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八、年初结转和结余：指以前年度尚未完成、结转到本年按有关规定继续使用的资金，或项目已完成等产生的结余资金。</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九、结余分配：指事业单位缴纳企业所得税以及从非财政拨款结余或经营结余中提取各类结余的情况。</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十一、基本支出：指为保障机构正常运转、完成日常工作任务而发生的人员支出和公用支出。</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十二、项目支出：指在基本支出之外为完成特定行政任务和事业发展目标所发生的支出。</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十三、经营支出：指事业单位在专业业务活动及其辅助活动之外开展非独立核算经营活动发生的支出。</w:t>
      </w:r>
    </w:p>
    <w:p>
      <w:pPr>
        <w:spacing w:line="578" w:lineRule="exact"/>
        <w:ind w:firstLine="640" w:firstLineChars="200"/>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spacing w:line="578" w:lineRule="exact"/>
        <w:ind w:firstLine="645"/>
        <w:rPr>
          <w:rFonts w:ascii="仿宋_GB2312" w:hAnsi="ˎ̥" w:eastAsia="仿宋_GB2312"/>
          <w:color w:val="000000" w:themeColor="text1"/>
          <w:sz w:val="32"/>
          <w:szCs w:val="32"/>
        </w:rPr>
      </w:pPr>
      <w:r>
        <w:rPr>
          <w:rFonts w:hint="eastAsia" w:ascii="仿宋_GB2312" w:hAnsi="ˎ̥" w:eastAsia="仿宋_GB2312"/>
          <w:color w:val="000000" w:themeColor="text1"/>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spacing w:line="578" w:lineRule="exact"/>
        <w:rPr>
          <w:color w:val="000000" w:themeColor="text1"/>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10022FF" w:usb1="C000E47F" w:usb2="00000029" w:usb3="00000000" w:csb0="200001DF" w:csb1="20000000"/>
  </w:font>
  <w:font w:name="方正仿宋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Pr>
    </w:pPr>
    <w:r>
      <w:fldChar w:fldCharType="begin"/>
    </w:r>
    <w:r>
      <w:rPr>
        <w:rStyle w:val="9"/>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03FE3"/>
    <w:rsid w:val="0034456B"/>
    <w:rsid w:val="00353E2A"/>
    <w:rsid w:val="00365B24"/>
    <w:rsid w:val="00392EAD"/>
    <w:rsid w:val="003D2F77"/>
    <w:rsid w:val="00423151"/>
    <w:rsid w:val="004C755C"/>
    <w:rsid w:val="004D515A"/>
    <w:rsid w:val="004D5572"/>
    <w:rsid w:val="0050273F"/>
    <w:rsid w:val="005061AE"/>
    <w:rsid w:val="00512D71"/>
    <w:rsid w:val="00513897"/>
    <w:rsid w:val="00514853"/>
    <w:rsid w:val="00517853"/>
    <w:rsid w:val="00525C3D"/>
    <w:rsid w:val="00530C81"/>
    <w:rsid w:val="005C43A2"/>
    <w:rsid w:val="005E64FB"/>
    <w:rsid w:val="005F5987"/>
    <w:rsid w:val="00602EED"/>
    <w:rsid w:val="00652189"/>
    <w:rsid w:val="006B0D64"/>
    <w:rsid w:val="00731E35"/>
    <w:rsid w:val="00731FC7"/>
    <w:rsid w:val="00740E64"/>
    <w:rsid w:val="00754F6E"/>
    <w:rsid w:val="007A4101"/>
    <w:rsid w:val="008232A9"/>
    <w:rsid w:val="00896ADB"/>
    <w:rsid w:val="00922BC2"/>
    <w:rsid w:val="00986D32"/>
    <w:rsid w:val="009A2744"/>
    <w:rsid w:val="009B7458"/>
    <w:rsid w:val="00A309A5"/>
    <w:rsid w:val="00A54A37"/>
    <w:rsid w:val="00A70448"/>
    <w:rsid w:val="00AA19F3"/>
    <w:rsid w:val="00AC1537"/>
    <w:rsid w:val="00AC28EE"/>
    <w:rsid w:val="00AC3F0E"/>
    <w:rsid w:val="00AE0502"/>
    <w:rsid w:val="00B36E61"/>
    <w:rsid w:val="00B409FF"/>
    <w:rsid w:val="00B4133E"/>
    <w:rsid w:val="00B543B1"/>
    <w:rsid w:val="00B54DE8"/>
    <w:rsid w:val="00B63E9E"/>
    <w:rsid w:val="00BC0439"/>
    <w:rsid w:val="00C04C21"/>
    <w:rsid w:val="00C156B1"/>
    <w:rsid w:val="00C7436A"/>
    <w:rsid w:val="00C91A8C"/>
    <w:rsid w:val="00CA0F14"/>
    <w:rsid w:val="00CA536B"/>
    <w:rsid w:val="00CB0D1E"/>
    <w:rsid w:val="00CD6E49"/>
    <w:rsid w:val="00CD794A"/>
    <w:rsid w:val="00DB612B"/>
    <w:rsid w:val="00DC2A37"/>
    <w:rsid w:val="00E07782"/>
    <w:rsid w:val="00E134BB"/>
    <w:rsid w:val="00E3166C"/>
    <w:rsid w:val="00E557FB"/>
    <w:rsid w:val="00E70EA3"/>
    <w:rsid w:val="00ED2D2A"/>
    <w:rsid w:val="00F0336A"/>
    <w:rsid w:val="00F06DA9"/>
    <w:rsid w:val="00F103D6"/>
    <w:rsid w:val="00F25220"/>
    <w:rsid w:val="00F54382"/>
    <w:rsid w:val="00FA2884"/>
    <w:rsid w:val="00FC03DC"/>
    <w:rsid w:val="00FC5708"/>
    <w:rsid w:val="04C13C7A"/>
    <w:rsid w:val="059D25CD"/>
    <w:rsid w:val="09201287"/>
    <w:rsid w:val="099D288F"/>
    <w:rsid w:val="0FC80124"/>
    <w:rsid w:val="136F98C7"/>
    <w:rsid w:val="17427E68"/>
    <w:rsid w:val="1755065F"/>
    <w:rsid w:val="1AFC29C9"/>
    <w:rsid w:val="1CA52F2E"/>
    <w:rsid w:val="1DFE370B"/>
    <w:rsid w:val="1E3630B9"/>
    <w:rsid w:val="23442BA2"/>
    <w:rsid w:val="26EEC2B5"/>
    <w:rsid w:val="273C18CC"/>
    <w:rsid w:val="28E54516"/>
    <w:rsid w:val="29472309"/>
    <w:rsid w:val="2B406E77"/>
    <w:rsid w:val="2C2A0C43"/>
    <w:rsid w:val="2D1E73A5"/>
    <w:rsid w:val="32717154"/>
    <w:rsid w:val="32DE6EEE"/>
    <w:rsid w:val="34B63260"/>
    <w:rsid w:val="35EC2AC5"/>
    <w:rsid w:val="37FDA7E2"/>
    <w:rsid w:val="386C2CF3"/>
    <w:rsid w:val="388D4732"/>
    <w:rsid w:val="3A11242E"/>
    <w:rsid w:val="3A314D88"/>
    <w:rsid w:val="3A746883"/>
    <w:rsid w:val="3CA15DE9"/>
    <w:rsid w:val="3E2F0EC0"/>
    <w:rsid w:val="3FE61EE5"/>
    <w:rsid w:val="406508EE"/>
    <w:rsid w:val="408D6263"/>
    <w:rsid w:val="41B40CEE"/>
    <w:rsid w:val="47952032"/>
    <w:rsid w:val="48317291"/>
    <w:rsid w:val="485F7024"/>
    <w:rsid w:val="48E70666"/>
    <w:rsid w:val="4C6877E5"/>
    <w:rsid w:val="4D6A468D"/>
    <w:rsid w:val="4EA86137"/>
    <w:rsid w:val="56CA7FD0"/>
    <w:rsid w:val="57FA38D1"/>
    <w:rsid w:val="59B042D4"/>
    <w:rsid w:val="5B8E5E4A"/>
    <w:rsid w:val="5E190652"/>
    <w:rsid w:val="5F7D3333"/>
    <w:rsid w:val="602A60E2"/>
    <w:rsid w:val="61385890"/>
    <w:rsid w:val="615C7058"/>
    <w:rsid w:val="660545AC"/>
    <w:rsid w:val="687436E1"/>
    <w:rsid w:val="6C09564B"/>
    <w:rsid w:val="6DA45C50"/>
    <w:rsid w:val="6E9A7825"/>
    <w:rsid w:val="6F623189"/>
    <w:rsid w:val="6F670F9B"/>
    <w:rsid w:val="737450E0"/>
    <w:rsid w:val="74054476"/>
    <w:rsid w:val="742F38C4"/>
    <w:rsid w:val="74AB66DC"/>
    <w:rsid w:val="74C4154C"/>
    <w:rsid w:val="75956FFF"/>
    <w:rsid w:val="775C4B8C"/>
    <w:rsid w:val="77AA2D01"/>
    <w:rsid w:val="7B9B192C"/>
    <w:rsid w:val="7CDE1DBD"/>
    <w:rsid w:val="7D943A85"/>
    <w:rsid w:val="7DB0448C"/>
    <w:rsid w:val="7E5F9AA4"/>
    <w:rsid w:val="7F2D052F"/>
    <w:rsid w:val="8FFC8888"/>
    <w:rsid w:val="A7F73C99"/>
    <w:rsid w:val="BFFE3BF4"/>
    <w:rsid w:val="DFEBDA37"/>
    <w:rsid w:val="EF6FCA1D"/>
    <w:rsid w:val="EFFF57D6"/>
    <w:rsid w:val="FD33A2D0"/>
    <w:rsid w:val="FF7FA20F"/>
    <w:rsid w:val="FFFE8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2"/>
    <w:qFormat/>
    <w:uiPriority w:val="0"/>
    <w:pPr>
      <w:jc w:val="left"/>
    </w:pPr>
  </w:style>
  <w:style w:type="paragraph" w:styleId="4">
    <w:name w:val="Body Text"/>
    <w:basedOn w:val="1"/>
    <w:link w:val="19"/>
    <w:unhideWhenUsed/>
    <w:qFormat/>
    <w:uiPriority w:val="99"/>
    <w:pPr>
      <w:spacing w:after="120"/>
    </w:p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annotation reference"/>
    <w:qFormat/>
    <w:uiPriority w:val="0"/>
    <w:rPr>
      <w:sz w:val="21"/>
      <w:szCs w:val="21"/>
    </w:rPr>
  </w:style>
  <w:style w:type="character" w:customStyle="1" w:styleId="12">
    <w:name w:val="批注文字 Char"/>
    <w:link w:val="3"/>
    <w:qFormat/>
    <w:uiPriority w:val="0"/>
    <w:rPr>
      <w:kern w:val="2"/>
      <w:sz w:val="21"/>
      <w:szCs w:val="24"/>
    </w:rPr>
  </w:style>
  <w:style w:type="character" w:customStyle="1" w:styleId="13">
    <w:name w:val="批注框文本 Char"/>
    <w:link w:val="5"/>
    <w:qFormat/>
    <w:uiPriority w:val="0"/>
    <w:rPr>
      <w:kern w:val="2"/>
      <w:sz w:val="18"/>
      <w:szCs w:val="18"/>
    </w:rPr>
  </w:style>
  <w:style w:type="character" w:customStyle="1" w:styleId="14">
    <w:name w:val="页眉 Char"/>
    <w:link w:val="7"/>
    <w:qFormat/>
    <w:uiPriority w:val="0"/>
    <w:rPr>
      <w:kern w:val="2"/>
      <w:sz w:val="18"/>
      <w:szCs w:val="18"/>
    </w:rPr>
  </w:style>
  <w:style w:type="character" w:customStyle="1" w:styleId="15">
    <w:name w:val="批注主题 Char"/>
    <w:link w:val="2"/>
    <w:qFormat/>
    <w:uiPriority w:val="0"/>
    <w:rPr>
      <w:b/>
      <w:bCs/>
      <w:kern w:val="2"/>
      <w:sz w:val="21"/>
      <w:szCs w:val="24"/>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8">
    <w:name w:val="正文1 Char Char Char"/>
    <w:basedOn w:val="1"/>
    <w:qFormat/>
    <w:uiPriority w:val="0"/>
    <w:pPr>
      <w:spacing w:line="360" w:lineRule="auto"/>
      <w:ind w:firstLine="200" w:firstLineChars="200"/>
    </w:pPr>
  </w:style>
  <w:style w:type="character" w:customStyle="1" w:styleId="19">
    <w:name w:val="正文文本 Char"/>
    <w:basedOn w:val="8"/>
    <w:link w:val="4"/>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1039</Words>
  <Characters>5928</Characters>
  <Lines>49</Lines>
  <Paragraphs>13</Paragraphs>
  <TotalTime>10</TotalTime>
  <ScaleCrop>false</ScaleCrop>
  <LinksUpToDate>false</LinksUpToDate>
  <CharactersWithSpaces>6954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2025-10-10T07:29:00Z</dcterms:created>
  <dc:creator>uos</dc:creator>
  <cp:lastModifiedBy>Administrator</cp:lastModifiedBy>
  <cp:lastPrinted>2023-08-03T00:58:00Z</cp:lastPrinted>
  <dcterms:modified xsi:type="dcterms:W3CDTF">2025-10-11T03:50:21Z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